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193703BE"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D05BD0">
        <w:rPr>
          <w:sz w:val="18"/>
        </w:rPr>
        <w:t>2024/7/1</w:t>
      </w:r>
      <w:r>
        <w:rPr>
          <w:rFonts w:hint="eastAsia"/>
          <w:color w:val="7F7F7F"/>
          <w:sz w:val="18"/>
          <w:szCs w:val="20"/>
          <w:lang w:val="zh-TW"/>
        </w:rPr>
        <w:t>【</w:t>
      </w:r>
      <w:hyperlink r:id="rId9" w:history="1">
        <w:r w:rsidRPr="00042C8E">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6E6E00">
          <w:rPr>
            <w:rStyle w:val="a3"/>
            <w:sz w:val="18"/>
            <w:szCs w:val="20"/>
          </w:rPr>
          <w:t>黃婉玲</w:t>
        </w:r>
      </w:hyperlink>
    </w:p>
    <w:p w14:paraId="281544C7" w14:textId="77777777" w:rsidR="0045425A" w:rsidRPr="0043189A" w:rsidRDefault="00EB27D6" w:rsidP="005D6F38">
      <w:pPr>
        <w:ind w:rightChars="-110" w:right="-220" w:firstLineChars="2880" w:firstLine="5184"/>
        <w:jc w:val="right"/>
        <w:rPr>
          <w:rFonts w:ascii="標楷體" w:eastAsia="標楷體" w:hAnsi="標楷體"/>
          <w:color w:val="000080"/>
          <w:u w:val="single"/>
        </w:rPr>
      </w:pPr>
      <w:r w:rsidRPr="0043189A">
        <w:rPr>
          <w:rFonts w:ascii="標楷體" w:eastAsia="標楷體" w:hAnsi="標楷體" w:hint="eastAsia"/>
          <w:color w:val="808000"/>
          <w:sz w:val="18"/>
          <w:szCs w:val="20"/>
        </w:rPr>
        <w:t>（建議使用工具列--</w:t>
      </w:r>
      <w:r w:rsidR="00EC6E54" w:rsidRPr="0043189A">
        <w:rPr>
          <w:rFonts w:ascii="標楷體" w:eastAsia="標楷體" w:hAnsi="標楷體" w:hint="eastAsia"/>
          <w:color w:val="808000"/>
          <w:sz w:val="18"/>
          <w:szCs w:val="20"/>
        </w:rPr>
        <w:t>〉</w:t>
      </w:r>
      <w:r w:rsidRPr="0043189A">
        <w:rPr>
          <w:rFonts w:ascii="標楷體" w:eastAsia="標楷體" w:hAnsi="標楷體" w:hint="eastAsia"/>
          <w:color w:val="808000"/>
          <w:sz w:val="18"/>
          <w:szCs w:val="20"/>
        </w:rPr>
        <w:t>檢視--</w:t>
      </w:r>
      <w:r w:rsidR="00EC6E54" w:rsidRPr="0043189A">
        <w:rPr>
          <w:rFonts w:ascii="標楷體" w:eastAsia="標楷體" w:hAnsi="標楷體" w:hint="eastAsia"/>
          <w:color w:val="808000"/>
          <w:sz w:val="18"/>
          <w:szCs w:val="20"/>
        </w:rPr>
        <w:t>〉</w:t>
      </w:r>
      <w:r w:rsidRPr="0043189A">
        <w:rPr>
          <w:rFonts w:ascii="標楷體" w:eastAsia="標楷體" w:hAnsi="標楷體" w:hint="eastAsia"/>
          <w:color w:val="808000"/>
          <w:sz w:val="18"/>
          <w:szCs w:val="20"/>
        </w:rPr>
        <w:t>文件引導模式/功能窗格）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200"/>
        <w:gridCol w:w="2890"/>
      </w:tblGrid>
      <w:tr w:rsidR="0045425A" w:rsidRPr="000509F5" w14:paraId="72E1B886" w14:textId="77777777" w:rsidTr="00A947B6">
        <w:trPr>
          <w:cantSplit/>
          <w:tblCellSpacing w:w="0" w:type="dxa"/>
        </w:trPr>
        <w:tc>
          <w:tcPr>
            <w:tcW w:w="486" w:type="pct"/>
            <w:tcBorders>
              <w:top w:val="nil"/>
              <w:left w:val="nil"/>
              <w:bottom w:val="nil"/>
              <w:right w:val="nil"/>
            </w:tcBorders>
            <w:shd w:val="clear" w:color="auto" w:fill="339966"/>
            <w:vAlign w:val="center"/>
          </w:tcPr>
          <w:p w14:paraId="52FC4E13"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3079" w:type="pct"/>
            <w:tcBorders>
              <w:top w:val="nil"/>
              <w:left w:val="nil"/>
              <w:bottom w:val="nil"/>
              <w:right w:val="nil"/>
            </w:tcBorders>
            <w:shd w:val="clear" w:color="auto" w:fill="F6FCF9"/>
            <w:vAlign w:val="center"/>
          </w:tcPr>
          <w:p w14:paraId="344C0931" w14:textId="0FAC50D9" w:rsidR="0045425A" w:rsidRPr="000A5999" w:rsidRDefault="00444725"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444725">
              <w:rPr>
                <w:rFonts w:eastAsia="標楷體" w:hint="eastAsia"/>
                <w:sz w:val="28"/>
                <w:szCs w:val="28"/>
                <w14:shadow w14:blurRad="50800" w14:dist="38100" w14:dir="2700000" w14:sx="100000" w14:sy="100000" w14:kx="0" w14:ky="0" w14:algn="tl">
                  <w14:srgbClr w14:val="000000">
                    <w14:alpha w14:val="60000"/>
                  </w14:srgbClr>
                </w14:shadow>
              </w:rPr>
              <w:t>加氫站銷售氫燃料經營許可管理辦法</w:t>
            </w:r>
          </w:p>
        </w:tc>
        <w:tc>
          <w:tcPr>
            <w:tcW w:w="1435" w:type="pct"/>
            <w:tcBorders>
              <w:top w:val="nil"/>
              <w:left w:val="nil"/>
              <w:bottom w:val="nil"/>
              <w:right w:val="nil"/>
            </w:tcBorders>
            <w:shd w:val="clear" w:color="auto" w:fill="F6FCF9"/>
            <w:vAlign w:val="center"/>
          </w:tcPr>
          <w:p w14:paraId="640971EB" w14:textId="67BAA6DB" w:rsidR="00EC7AEC" w:rsidRPr="004E2FEA" w:rsidRDefault="0045425A" w:rsidP="005D6F38">
            <w:pPr>
              <w:ind w:leftChars="-6" w:left="-12"/>
              <w:jc w:val="both"/>
              <w:rPr>
                <w:rFonts w:ascii="Arial Unicode MS" w:hAnsi="Arial Unicode MS"/>
              </w:rPr>
            </w:pPr>
            <w:r w:rsidRPr="004E2FEA">
              <w:rPr>
                <w:rFonts w:ascii="Arial Unicode MS" w:hAnsi="Arial Unicode MS"/>
              </w:rPr>
              <w:t>【</w:t>
            </w:r>
            <w:r w:rsidR="009C76D2" w:rsidRPr="00A44212">
              <w:rPr>
                <w:rFonts w:ascii="Arial Unicode MS" w:hAnsi="Arial Unicode MS" w:hint="eastAsia"/>
                <w:color w:val="333333"/>
                <w:szCs w:val="20"/>
              </w:rPr>
              <w:t>發</w:t>
            </w:r>
            <w:r w:rsidRPr="004E2FEA">
              <w:rPr>
                <w:rFonts w:ascii="Arial Unicode MS" w:hAnsi="Arial Unicode MS"/>
              </w:rPr>
              <w:t>布日期】</w:t>
            </w:r>
            <w:r w:rsidR="00B136C8">
              <w:rPr>
                <w:rFonts w:ascii="Arial Unicode MS" w:hAnsi="Arial Unicode MS" w:hint="eastAsia"/>
              </w:rPr>
              <w:t>1</w:t>
            </w:r>
            <w:r w:rsidR="00B136C8">
              <w:rPr>
                <w:rFonts w:ascii="Arial Unicode MS" w:hAnsi="Arial Unicode MS"/>
              </w:rPr>
              <w:t>12.11.01</w:t>
            </w:r>
          </w:p>
          <w:p w14:paraId="59642B65" w14:textId="51D9F3D9"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w:t>
            </w:r>
            <w:r w:rsidR="009C76D2" w:rsidRPr="00A44212">
              <w:rPr>
                <w:rFonts w:ascii="Arial Unicode MS" w:hAnsi="Arial Unicode MS" w:hint="eastAsia"/>
                <w:color w:val="333333"/>
                <w:szCs w:val="20"/>
              </w:rPr>
              <w:t>發</w:t>
            </w:r>
            <w:r w:rsidRPr="004E2FEA">
              <w:rPr>
                <w:rFonts w:ascii="Arial Unicode MS" w:hAnsi="Arial Unicode MS"/>
              </w:rPr>
              <w:t>布機關】</w:t>
            </w:r>
            <w:hyperlink r:id="rId11" w:tgtFrame="_blank" w:history="1">
              <w:r w:rsidR="00DC7696">
                <w:rPr>
                  <w:rStyle w:val="a3"/>
                </w:rPr>
                <w:t>經濟部</w:t>
              </w:r>
            </w:hyperlink>
          </w:p>
        </w:tc>
      </w:tr>
    </w:tbl>
    <w:p w14:paraId="5870F007" w14:textId="564118EE"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加氫站銷售氫燃料經營許可管理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638FA399" w14:textId="1C065826" w:rsidR="00EC7AEC" w:rsidRPr="00EB27D6" w:rsidRDefault="0045425A" w:rsidP="00EC7AEC">
      <w:pPr>
        <w:ind w:firstLineChars="100" w:firstLine="180"/>
        <w:rPr>
          <w:rFonts w:ascii="Arial Unicode MS" w:hAnsi="Arial Unicode MS"/>
        </w:rPr>
      </w:pPr>
      <w:r w:rsidRPr="00EB27D6">
        <w:rPr>
          <w:rFonts w:ascii="Arial Unicode MS" w:hAnsi="Arial Unicode MS"/>
          <w:b/>
          <w:sz w:val="18"/>
        </w:rPr>
        <w:t>1</w:t>
      </w:r>
      <w:r w:rsidR="00EB27D6" w:rsidRPr="00EB27D6">
        <w:rPr>
          <w:rFonts w:ascii="新細明體" w:hAnsi="新細明體"/>
        </w:rPr>
        <w:t>‧</w:t>
      </w:r>
      <w:r w:rsidR="00042C8E" w:rsidRPr="00042C8E">
        <w:rPr>
          <w:rFonts w:ascii="Arial Unicode MS" w:hAnsi="Arial Unicode MS" w:hint="eastAsia"/>
          <w:sz w:val="18"/>
        </w:rPr>
        <w:t>中華民國一百十二年十一月一日經濟部經能字第</w:t>
      </w:r>
      <w:r w:rsidR="00042C8E" w:rsidRPr="00042C8E">
        <w:rPr>
          <w:rFonts w:ascii="Arial Unicode MS" w:hAnsi="Arial Unicode MS" w:hint="eastAsia"/>
          <w:sz w:val="18"/>
        </w:rPr>
        <w:t>11258024700</w:t>
      </w:r>
      <w:r w:rsidR="00042C8E" w:rsidRPr="00042C8E">
        <w:rPr>
          <w:rFonts w:ascii="Arial Unicode MS" w:hAnsi="Arial Unicode MS" w:hint="eastAsia"/>
          <w:sz w:val="18"/>
        </w:rPr>
        <w:t>號令訂定發布全文</w:t>
      </w:r>
      <w:r w:rsidR="00042C8E" w:rsidRPr="00042C8E">
        <w:rPr>
          <w:rFonts w:ascii="Arial Unicode MS" w:hAnsi="Arial Unicode MS" w:hint="eastAsia"/>
          <w:sz w:val="18"/>
        </w:rPr>
        <w:t>26</w:t>
      </w:r>
      <w:r w:rsidR="00042C8E" w:rsidRPr="00042C8E">
        <w:rPr>
          <w:rFonts w:ascii="Arial Unicode MS" w:hAnsi="Arial Unicode MS" w:hint="eastAsia"/>
          <w:sz w:val="18"/>
        </w:rPr>
        <w:t>條；自發布日施行</w:t>
      </w:r>
    </w:p>
    <w:p w14:paraId="0947E130" w14:textId="77777777" w:rsidR="006E49D6" w:rsidRPr="00CC6D27" w:rsidRDefault="006E49D6" w:rsidP="006E49D6">
      <w:pPr>
        <w:jc w:val="both"/>
        <w:rPr>
          <w:rFonts w:ascii="新細明體" w:hAnsi="新細明體"/>
          <w:b/>
          <w:bCs/>
          <w:color w:val="990000"/>
        </w:rPr>
      </w:pPr>
    </w:p>
    <w:p w14:paraId="2596A4EA" w14:textId="77777777" w:rsidR="006E49D6" w:rsidRPr="005D6F38" w:rsidRDefault="006E49D6" w:rsidP="006E49D6">
      <w:pPr>
        <w:pStyle w:val="1"/>
        <w:rPr>
          <w:color w:val="990000"/>
        </w:rPr>
      </w:pPr>
      <w:bookmarkStart w:id="1" w:name="a章節索引"/>
      <w:bookmarkEnd w:id="1"/>
      <w:r w:rsidRPr="005D6F38">
        <w:rPr>
          <w:color w:val="990000"/>
        </w:rPr>
        <w:t>【</w:t>
      </w:r>
      <w:r w:rsidRPr="005D6F38">
        <w:rPr>
          <w:rFonts w:hint="eastAsia"/>
          <w:color w:val="990000"/>
        </w:rPr>
        <w:t>章節索引</w:t>
      </w:r>
      <w:r w:rsidRPr="005D6F38">
        <w:rPr>
          <w:color w:val="990000"/>
        </w:rPr>
        <w:t>】</w:t>
      </w:r>
    </w:p>
    <w:p w14:paraId="22508BB4" w14:textId="7DBACB65" w:rsidR="00042C8E" w:rsidRPr="00042C8E" w:rsidRDefault="00042C8E" w:rsidP="00042C8E">
      <w:pPr>
        <w:ind w:left="142"/>
        <w:jc w:val="both"/>
        <w:rPr>
          <w:rFonts w:ascii="Arial Unicode MS" w:hAnsi="Arial Unicode MS"/>
          <w:bCs/>
          <w:color w:val="990000"/>
        </w:rPr>
      </w:pPr>
      <w:r w:rsidRPr="00042C8E">
        <w:rPr>
          <w:rFonts w:ascii="Arial Unicode MS" w:hAnsi="Arial Unicode MS" w:hint="eastAsia"/>
          <w:bCs/>
          <w:color w:val="990000"/>
        </w:rPr>
        <w:t xml:space="preserve">第一章　</w:t>
      </w:r>
      <w:hyperlink w:anchor="_第一章__總則" w:history="1">
        <w:r w:rsidRPr="00E85BBB">
          <w:rPr>
            <w:rStyle w:val="a3"/>
            <w:rFonts w:ascii="Arial Unicode MS" w:hAnsi="Arial Unicode MS" w:hint="eastAsia"/>
            <w:bCs/>
          </w:rPr>
          <w:t>總則</w:t>
        </w:r>
      </w:hyperlink>
      <w:r w:rsidRPr="00042C8E">
        <w:rPr>
          <w:rFonts w:ascii="Arial Unicode MS" w:hAnsi="Arial Unicode MS" w:hint="eastAsia"/>
          <w:bCs/>
          <w:color w:val="990000"/>
        </w:rPr>
        <w:t xml:space="preserve">　§</w:t>
      </w:r>
      <w:r w:rsidRPr="00042C8E">
        <w:rPr>
          <w:rFonts w:ascii="Arial Unicode MS" w:hAnsi="Arial Unicode MS" w:hint="eastAsia"/>
          <w:bCs/>
          <w:color w:val="990000"/>
        </w:rPr>
        <w:t>1</w:t>
      </w:r>
    </w:p>
    <w:p w14:paraId="070C3742" w14:textId="06E9C4EC" w:rsidR="00042C8E" w:rsidRPr="00042C8E" w:rsidRDefault="00042C8E" w:rsidP="00042C8E">
      <w:pPr>
        <w:ind w:left="142"/>
        <w:jc w:val="both"/>
        <w:rPr>
          <w:rFonts w:ascii="Arial Unicode MS" w:hAnsi="Arial Unicode MS"/>
          <w:bCs/>
          <w:color w:val="990000"/>
        </w:rPr>
      </w:pPr>
      <w:r w:rsidRPr="00042C8E">
        <w:rPr>
          <w:rFonts w:ascii="Arial Unicode MS" w:hAnsi="Arial Unicode MS" w:hint="eastAsia"/>
          <w:bCs/>
          <w:color w:val="990000"/>
        </w:rPr>
        <w:t xml:space="preserve">第二章　</w:t>
      </w:r>
      <w:hyperlink w:anchor="_第二章__用地" w:history="1">
        <w:r w:rsidRPr="00E85BBB">
          <w:rPr>
            <w:rStyle w:val="a3"/>
            <w:rFonts w:ascii="Arial Unicode MS" w:hAnsi="Arial Unicode MS" w:hint="eastAsia"/>
            <w:bCs/>
          </w:rPr>
          <w:t>用地</w:t>
        </w:r>
      </w:hyperlink>
      <w:r w:rsidRPr="00042C8E">
        <w:rPr>
          <w:rFonts w:ascii="Arial Unicode MS" w:hAnsi="Arial Unicode MS" w:hint="eastAsia"/>
          <w:bCs/>
          <w:color w:val="990000"/>
        </w:rPr>
        <w:t xml:space="preserve">　§</w:t>
      </w:r>
      <w:r w:rsidRPr="00042C8E">
        <w:rPr>
          <w:rFonts w:ascii="Arial Unicode MS" w:hAnsi="Arial Unicode MS" w:hint="eastAsia"/>
          <w:bCs/>
          <w:color w:val="990000"/>
        </w:rPr>
        <w:t>4</w:t>
      </w:r>
    </w:p>
    <w:p w14:paraId="7AB0A1A9" w14:textId="55C8953D" w:rsidR="00042C8E" w:rsidRPr="00042C8E" w:rsidRDefault="00042C8E" w:rsidP="00042C8E">
      <w:pPr>
        <w:ind w:left="142"/>
        <w:jc w:val="both"/>
        <w:rPr>
          <w:rFonts w:ascii="Arial Unicode MS" w:hAnsi="Arial Unicode MS"/>
          <w:bCs/>
          <w:color w:val="990000"/>
        </w:rPr>
      </w:pPr>
      <w:r w:rsidRPr="00042C8E">
        <w:rPr>
          <w:rFonts w:ascii="Arial Unicode MS" w:hAnsi="Arial Unicode MS" w:hint="eastAsia"/>
          <w:bCs/>
          <w:color w:val="990000"/>
        </w:rPr>
        <w:t xml:space="preserve">第三章　</w:t>
      </w:r>
      <w:hyperlink w:anchor="_第三章__設備本條文有附件" w:history="1">
        <w:r w:rsidRPr="00E85BBB">
          <w:rPr>
            <w:rStyle w:val="a3"/>
            <w:rFonts w:ascii="Arial Unicode MS" w:hAnsi="Arial Unicode MS" w:hint="eastAsia"/>
            <w:bCs/>
          </w:rPr>
          <w:t>設備</w:t>
        </w:r>
      </w:hyperlink>
      <w:r w:rsidRPr="00042C8E">
        <w:rPr>
          <w:rFonts w:ascii="Arial Unicode MS" w:hAnsi="Arial Unicode MS" w:hint="eastAsia"/>
          <w:bCs/>
          <w:color w:val="990000"/>
        </w:rPr>
        <w:t xml:space="preserve">　§</w:t>
      </w:r>
      <w:r w:rsidRPr="00042C8E">
        <w:rPr>
          <w:rFonts w:ascii="Arial Unicode MS" w:hAnsi="Arial Unicode MS" w:hint="eastAsia"/>
          <w:bCs/>
          <w:color w:val="990000"/>
        </w:rPr>
        <w:t>6</w:t>
      </w:r>
    </w:p>
    <w:p w14:paraId="6536C38F" w14:textId="0FCA6C30" w:rsidR="00042C8E" w:rsidRPr="00042C8E" w:rsidRDefault="00042C8E" w:rsidP="00042C8E">
      <w:pPr>
        <w:ind w:left="142"/>
        <w:jc w:val="both"/>
        <w:rPr>
          <w:rFonts w:ascii="Arial Unicode MS" w:hAnsi="Arial Unicode MS"/>
          <w:bCs/>
          <w:color w:val="990000"/>
        </w:rPr>
      </w:pPr>
      <w:r w:rsidRPr="00042C8E">
        <w:rPr>
          <w:rFonts w:ascii="Arial Unicode MS" w:hAnsi="Arial Unicode MS" w:hint="eastAsia"/>
          <w:bCs/>
          <w:color w:val="990000"/>
        </w:rPr>
        <w:t xml:space="preserve">第四章　</w:t>
      </w:r>
      <w:hyperlink w:anchor="_第四章__申請程序" w:history="1">
        <w:r w:rsidRPr="00E85BBB">
          <w:rPr>
            <w:rStyle w:val="a3"/>
            <w:rFonts w:ascii="Arial Unicode MS" w:hAnsi="Arial Unicode MS" w:hint="eastAsia"/>
            <w:bCs/>
          </w:rPr>
          <w:t>申請程序</w:t>
        </w:r>
      </w:hyperlink>
      <w:r w:rsidRPr="00042C8E">
        <w:rPr>
          <w:rFonts w:ascii="Arial Unicode MS" w:hAnsi="Arial Unicode MS" w:hint="eastAsia"/>
          <w:bCs/>
          <w:color w:val="990000"/>
        </w:rPr>
        <w:t xml:space="preserve">　§</w:t>
      </w:r>
      <w:r w:rsidRPr="00042C8E">
        <w:rPr>
          <w:rFonts w:ascii="Arial Unicode MS" w:hAnsi="Arial Unicode MS" w:hint="eastAsia"/>
          <w:bCs/>
          <w:color w:val="990000"/>
        </w:rPr>
        <w:t>10</w:t>
      </w:r>
    </w:p>
    <w:p w14:paraId="00F925D6" w14:textId="61535B0C" w:rsidR="00042C8E" w:rsidRPr="00042C8E" w:rsidRDefault="00042C8E" w:rsidP="00042C8E">
      <w:pPr>
        <w:ind w:left="142"/>
        <w:jc w:val="both"/>
        <w:rPr>
          <w:rFonts w:ascii="Arial Unicode MS" w:hAnsi="Arial Unicode MS"/>
          <w:bCs/>
          <w:color w:val="990000"/>
        </w:rPr>
      </w:pPr>
      <w:r w:rsidRPr="00042C8E">
        <w:rPr>
          <w:rFonts w:ascii="Arial Unicode MS" w:hAnsi="Arial Unicode MS" w:hint="eastAsia"/>
          <w:bCs/>
          <w:color w:val="990000"/>
        </w:rPr>
        <w:t xml:space="preserve">第五章　</w:t>
      </w:r>
      <w:hyperlink w:anchor="_第五章__經營管理" w:history="1">
        <w:r w:rsidRPr="00E85BBB">
          <w:rPr>
            <w:rStyle w:val="a3"/>
            <w:rFonts w:ascii="Arial Unicode MS" w:hAnsi="Arial Unicode MS" w:hint="eastAsia"/>
            <w:bCs/>
          </w:rPr>
          <w:t>經營管理</w:t>
        </w:r>
      </w:hyperlink>
      <w:r w:rsidRPr="00042C8E">
        <w:rPr>
          <w:rFonts w:ascii="Arial Unicode MS" w:hAnsi="Arial Unicode MS" w:hint="eastAsia"/>
          <w:bCs/>
          <w:color w:val="990000"/>
        </w:rPr>
        <w:t xml:space="preserve">　§</w:t>
      </w:r>
      <w:r w:rsidRPr="00042C8E">
        <w:rPr>
          <w:rFonts w:ascii="Arial Unicode MS" w:hAnsi="Arial Unicode MS" w:hint="eastAsia"/>
          <w:bCs/>
          <w:color w:val="990000"/>
        </w:rPr>
        <w:t>13</w:t>
      </w:r>
    </w:p>
    <w:p w14:paraId="1F415A82" w14:textId="282E7FEE" w:rsidR="006E49D6" w:rsidRPr="00042C8E" w:rsidRDefault="00042C8E" w:rsidP="00042C8E">
      <w:pPr>
        <w:ind w:left="142"/>
        <w:jc w:val="both"/>
        <w:rPr>
          <w:rFonts w:ascii="Arial Unicode MS" w:hAnsi="Arial Unicode MS"/>
          <w:bCs/>
          <w:color w:val="990000"/>
        </w:rPr>
      </w:pPr>
      <w:r w:rsidRPr="00042C8E">
        <w:rPr>
          <w:rFonts w:ascii="Arial Unicode MS" w:hAnsi="Arial Unicode MS" w:hint="eastAsia"/>
          <w:bCs/>
          <w:color w:val="990000"/>
        </w:rPr>
        <w:t xml:space="preserve">第六章　</w:t>
      </w:r>
      <w:hyperlink w:anchor="_第六章__附則" w:history="1">
        <w:r w:rsidRPr="00E85BBB">
          <w:rPr>
            <w:rStyle w:val="a3"/>
            <w:rFonts w:ascii="Arial Unicode MS" w:hAnsi="Arial Unicode MS" w:hint="eastAsia"/>
            <w:bCs/>
          </w:rPr>
          <w:t>附則</w:t>
        </w:r>
      </w:hyperlink>
      <w:r w:rsidRPr="00042C8E">
        <w:rPr>
          <w:rFonts w:ascii="Arial Unicode MS" w:hAnsi="Arial Unicode MS" w:hint="eastAsia"/>
          <w:bCs/>
          <w:color w:val="990000"/>
        </w:rPr>
        <w:t xml:space="preserve">　§</w:t>
      </w:r>
      <w:r w:rsidRPr="00042C8E">
        <w:rPr>
          <w:rFonts w:ascii="Arial Unicode MS" w:hAnsi="Arial Unicode MS" w:hint="eastAsia"/>
          <w:bCs/>
          <w:color w:val="990000"/>
        </w:rPr>
        <w:t>23</w:t>
      </w:r>
    </w:p>
    <w:p w14:paraId="16D54B80" w14:textId="77777777" w:rsidR="006E49D6" w:rsidRPr="000509F5" w:rsidRDefault="006E49D6" w:rsidP="006E49D6">
      <w:pPr>
        <w:ind w:firstLineChars="100" w:firstLine="200"/>
        <w:rPr>
          <w:rFonts w:ascii="Arial Unicode MS" w:hAnsi="Arial Unicode MS"/>
          <w:b/>
          <w:bCs/>
          <w:color w:val="800000"/>
        </w:rPr>
      </w:pPr>
    </w:p>
    <w:p w14:paraId="0FBE26E6" w14:textId="0DAE4B38" w:rsidR="006E49D6" w:rsidRPr="005D6F38" w:rsidRDefault="005B6C71" w:rsidP="006E49D6">
      <w:pPr>
        <w:pStyle w:val="1"/>
        <w:rPr>
          <w:color w:val="990000"/>
        </w:rPr>
      </w:pPr>
      <w:r>
        <w:rPr>
          <w:color w:val="990000"/>
        </w:rPr>
        <w:t>【法規內容】</w:t>
      </w:r>
    </w:p>
    <w:p w14:paraId="413317B1" w14:textId="77777777" w:rsidR="00042C8E" w:rsidRDefault="00042C8E" w:rsidP="00330912">
      <w:pPr>
        <w:pStyle w:val="1"/>
        <w:rPr>
          <w:kern w:val="36"/>
          <w:szCs w:val="48"/>
        </w:rPr>
      </w:pPr>
      <w:bookmarkStart w:id="2" w:name="_第一章__總則"/>
      <w:bookmarkEnd w:id="2"/>
      <w:r>
        <w:t>第一章　　總則</w:t>
      </w:r>
    </w:p>
    <w:p w14:paraId="42C1E8FE" w14:textId="77777777" w:rsidR="005B6C71" w:rsidRDefault="00042C8E" w:rsidP="00042C8E">
      <w:pPr>
        <w:pStyle w:val="2"/>
      </w:pPr>
      <w:bookmarkStart w:id="3" w:name="a1"/>
      <w:bookmarkEnd w:id="3"/>
      <w:r>
        <w:t>第</w:t>
      </w:r>
      <w:r>
        <w:t>1</w:t>
      </w:r>
      <w:r w:rsidR="005B6C71">
        <w:t>條</w:t>
      </w:r>
    </w:p>
    <w:p w14:paraId="6051016D" w14:textId="6324F935" w:rsidR="00042C8E"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本辦法依能源管理法</w:t>
      </w:r>
      <w:hyperlink r:id="rId14" w:anchor="a6" w:history="1">
        <w:r w:rsidR="00042C8E" w:rsidRPr="000A5219">
          <w:rPr>
            <w:rStyle w:val="a3"/>
            <w:rFonts w:ascii="Times New Roman" w:hAnsi="Times New Roman"/>
          </w:rPr>
          <w:t>第六條</w:t>
        </w:r>
      </w:hyperlink>
      <w:r w:rsidR="00042C8E">
        <w:t>第三項規定訂定之。</w:t>
      </w:r>
    </w:p>
    <w:p w14:paraId="7FB6BE62" w14:textId="77777777" w:rsidR="005B6C71" w:rsidRDefault="00042C8E" w:rsidP="00042C8E">
      <w:pPr>
        <w:pStyle w:val="2"/>
      </w:pPr>
      <w:bookmarkStart w:id="4" w:name="a2"/>
      <w:bookmarkEnd w:id="4"/>
      <w:r>
        <w:t>第</w:t>
      </w:r>
      <w:r>
        <w:t>2</w:t>
      </w:r>
      <w:r w:rsidR="005B6C71">
        <w:t>條</w:t>
      </w:r>
    </w:p>
    <w:p w14:paraId="071226F4" w14:textId="2B445ADF" w:rsidR="005B6C71"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銷售供氫能車輛最終使用之氫燃料者，應設置加氫站</w:t>
      </w:r>
      <w:r>
        <w:t>。</w:t>
      </w:r>
    </w:p>
    <w:p w14:paraId="75E5F7E9" w14:textId="6917D594" w:rsidR="00042C8E" w:rsidRDefault="005B6C71" w:rsidP="00042C8E">
      <w:pPr>
        <w:ind w:left="142"/>
        <w:jc w:val="both"/>
      </w:pPr>
      <w:r w:rsidRPr="005B6C71">
        <w:rPr>
          <w:color w:val="404040" w:themeColor="text1" w:themeTint="BF"/>
          <w:sz w:val="18"/>
        </w:rPr>
        <w:t>﹝</w:t>
      </w:r>
      <w:r w:rsidRPr="005B6C71">
        <w:rPr>
          <w:color w:val="404040" w:themeColor="text1" w:themeTint="BF"/>
          <w:sz w:val="18"/>
        </w:rPr>
        <w:t>2</w:t>
      </w:r>
      <w:r w:rsidRPr="005B6C71">
        <w:rPr>
          <w:color w:val="404040" w:themeColor="text1" w:themeTint="BF"/>
          <w:sz w:val="18"/>
        </w:rPr>
        <w:t>﹞</w:t>
      </w:r>
      <w:r w:rsidR="00042C8E">
        <w:t>本辦法所稱加氫站，係指備有儲氫設施、氫氣處理設備及流量加氫機（以下簡稱加氫機），為氫能車輛加注氫氣之場所。</w:t>
      </w:r>
    </w:p>
    <w:p w14:paraId="4C0C0353" w14:textId="77777777" w:rsidR="005B6C71" w:rsidRDefault="00042C8E" w:rsidP="00042C8E">
      <w:pPr>
        <w:pStyle w:val="2"/>
      </w:pPr>
      <w:bookmarkStart w:id="5" w:name="a3"/>
      <w:bookmarkEnd w:id="5"/>
      <w:r>
        <w:t>第</w:t>
      </w:r>
      <w:r>
        <w:t>3</w:t>
      </w:r>
      <w:r w:rsidR="005B6C71">
        <w:t>條</w:t>
      </w:r>
    </w:p>
    <w:p w14:paraId="3613B76E" w14:textId="353A21CE" w:rsidR="00042C8E"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中央主管機關依本辦法應執行事項，得委任所屬機關、委託其他機關（構）或委辦直轄市、縣（市）主管機關辦理。</w:t>
      </w:r>
    </w:p>
    <w:p w14:paraId="12ED57E0" w14:textId="2D602B20" w:rsidR="006854C7" w:rsidRPr="006854C7" w:rsidRDefault="000B4EA2" w:rsidP="00042C8E">
      <w:pPr>
        <w:ind w:left="142"/>
        <w:jc w:val="both"/>
      </w:pPr>
      <w:r>
        <w:rPr>
          <w:rFonts w:ascii="Arial Unicode MS" w:hAnsi="Arial Unicode MS"/>
          <w:color w:val="808000"/>
          <w:sz w:val="18"/>
        </w:rPr>
        <w:t xml:space="preserve">　　　　　　　　　　　　　　　　　　　　　　　　　　　　　　　　　　　　　　　　　　　　　　　　　</w:t>
      </w:r>
      <w:hyperlink w:anchor="a章節索引" w:history="1">
        <w:r w:rsidRPr="003555EC">
          <w:rPr>
            <w:rStyle w:val="a3"/>
            <w:rFonts w:ascii="Arial Unicode MS" w:hAnsi="Arial Unicode MS" w:hint="eastAsia"/>
            <w:sz w:val="18"/>
          </w:rPr>
          <w:t>回索引</w:t>
        </w:r>
      </w:hyperlink>
      <w:r>
        <w:rPr>
          <w:rFonts w:ascii="Arial Unicode MS" w:hAnsi="Arial Unicode MS" w:hint="eastAsia"/>
          <w:color w:val="808000"/>
          <w:sz w:val="18"/>
        </w:rPr>
        <w:t>〉〉</w:t>
      </w:r>
    </w:p>
    <w:p w14:paraId="2D70CD94" w14:textId="77777777" w:rsidR="00042C8E" w:rsidRDefault="00042C8E" w:rsidP="006854C7">
      <w:pPr>
        <w:pStyle w:val="1"/>
      </w:pPr>
      <w:bookmarkStart w:id="6" w:name="_第二章__用地"/>
      <w:bookmarkEnd w:id="6"/>
      <w:r>
        <w:t>第二章　　用地</w:t>
      </w:r>
    </w:p>
    <w:p w14:paraId="63DA7DC6" w14:textId="77777777" w:rsidR="005B6C71" w:rsidRDefault="00042C8E" w:rsidP="00042C8E">
      <w:pPr>
        <w:pStyle w:val="2"/>
      </w:pPr>
      <w:bookmarkStart w:id="7" w:name="a4"/>
      <w:bookmarkEnd w:id="7"/>
      <w:r>
        <w:t>第</w:t>
      </w:r>
      <w:r>
        <w:t>4</w:t>
      </w:r>
      <w:r w:rsidR="005B6C71">
        <w:t>條</w:t>
      </w:r>
    </w:p>
    <w:p w14:paraId="11AF0D89" w14:textId="1AE1780E" w:rsidR="00042C8E"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加氫站之設置用地應符合</w:t>
      </w:r>
      <w:hyperlink r:id="rId15" w:history="1">
        <w:r w:rsidR="00042C8E" w:rsidRPr="00FA59A9">
          <w:rPr>
            <w:rStyle w:val="a3"/>
            <w:rFonts w:ascii="Times New Roman" w:hAnsi="Times New Roman"/>
          </w:rPr>
          <w:t>國土計畫法</w:t>
        </w:r>
      </w:hyperlink>
      <w:r w:rsidR="00042C8E">
        <w:t>、</w:t>
      </w:r>
      <w:hyperlink r:id="rId16" w:history="1">
        <w:r w:rsidR="00042C8E" w:rsidRPr="00FA59A9">
          <w:rPr>
            <w:rStyle w:val="a3"/>
            <w:rFonts w:ascii="Times New Roman" w:hAnsi="Times New Roman"/>
          </w:rPr>
          <w:t>區域計畫法</w:t>
        </w:r>
      </w:hyperlink>
      <w:r w:rsidR="00042C8E">
        <w:t>、</w:t>
      </w:r>
      <w:hyperlink r:id="rId17" w:history="1">
        <w:r w:rsidR="00042C8E" w:rsidRPr="00FA59A9">
          <w:rPr>
            <w:rStyle w:val="a3"/>
            <w:rFonts w:ascii="Times New Roman" w:hAnsi="Times New Roman"/>
          </w:rPr>
          <w:t>都市計畫法</w:t>
        </w:r>
      </w:hyperlink>
      <w:r w:rsidR="00042C8E">
        <w:t>及其他有關法令規定。</w:t>
      </w:r>
    </w:p>
    <w:p w14:paraId="1C84AADC" w14:textId="77777777" w:rsidR="005B6C71" w:rsidRDefault="00042C8E" w:rsidP="00042C8E">
      <w:pPr>
        <w:pStyle w:val="2"/>
      </w:pPr>
      <w:bookmarkStart w:id="8" w:name="a5"/>
      <w:bookmarkEnd w:id="8"/>
      <w:r>
        <w:t>第</w:t>
      </w:r>
      <w:r>
        <w:t>5</w:t>
      </w:r>
      <w:r w:rsidR="005B6C71">
        <w:t>條</w:t>
      </w:r>
    </w:p>
    <w:p w14:paraId="37696510" w14:textId="411B0833" w:rsidR="00042C8E"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加氫站之基地應符合下列規定：</w:t>
      </w:r>
    </w:p>
    <w:p w14:paraId="45C51D55" w14:textId="77777777" w:rsidR="005B6C71" w:rsidRDefault="00042C8E" w:rsidP="00042C8E">
      <w:pPr>
        <w:ind w:left="142"/>
        <w:jc w:val="both"/>
      </w:pPr>
      <w:r>
        <w:t xml:space="preserve">　　一、主要出入口面臨之道路寬度應在十二公尺以上</w:t>
      </w:r>
      <w:r w:rsidR="005B6C71">
        <w:t>。</w:t>
      </w:r>
    </w:p>
    <w:p w14:paraId="70E4EBD1" w14:textId="6F3F95E7" w:rsidR="005B6C71" w:rsidRDefault="005B6C71" w:rsidP="00042C8E">
      <w:pPr>
        <w:ind w:left="142"/>
        <w:jc w:val="both"/>
      </w:pPr>
      <w:r>
        <w:t xml:space="preserve">　　二、</w:t>
      </w:r>
      <w:r w:rsidR="00042C8E">
        <w:t>臨接道路之基地面寬應在二十公尺以上，其規劃之出入口臨接二條以上不同道路者，面寬均應在二十公</w:t>
      </w:r>
      <w:r w:rsidR="00042C8E">
        <w:lastRenderedPageBreak/>
        <w:t>尺以上</w:t>
      </w:r>
      <w:r>
        <w:t>。</w:t>
      </w:r>
    </w:p>
    <w:p w14:paraId="0B8B6D06" w14:textId="7236CDF1" w:rsidR="005B6C71" w:rsidRDefault="005B6C71" w:rsidP="00042C8E">
      <w:pPr>
        <w:ind w:left="142"/>
        <w:jc w:val="both"/>
      </w:pPr>
      <w:r>
        <w:t xml:space="preserve">　　三、</w:t>
      </w:r>
      <w:r w:rsidR="00042C8E">
        <w:t>與所面臨道路上之鐵路平交道、隧道口、同側高速公路交流道匝道漸變端點、公私立高級中等學校、國民中學、國民小學及當地直轄市、縣（市）政府認定須保持交通安全之公共設施等應有一百公尺以上之距離</w:t>
      </w:r>
      <w:r>
        <w:t>。</w:t>
      </w:r>
    </w:p>
    <w:p w14:paraId="31D0A79F" w14:textId="1F51DD40" w:rsidR="005B6C71" w:rsidRDefault="005B6C71" w:rsidP="00042C8E">
      <w:pPr>
        <w:ind w:left="142"/>
        <w:jc w:val="both"/>
      </w:pPr>
      <w:r>
        <w:t xml:space="preserve">　　四、</w:t>
      </w:r>
      <w:r w:rsidR="00042C8E">
        <w:t>與堰、壩水利建造物應有一百公尺以上之距離。但經堰、壩主管機關同意者，不在此限</w:t>
      </w:r>
      <w:r>
        <w:t>。</w:t>
      </w:r>
    </w:p>
    <w:p w14:paraId="7AA3FAF1" w14:textId="4012A3DF" w:rsidR="005B6C71" w:rsidRDefault="005B6C71" w:rsidP="00042C8E">
      <w:pPr>
        <w:ind w:left="142"/>
        <w:jc w:val="both"/>
      </w:pPr>
      <w:r>
        <w:t xml:space="preserve">　　五、</w:t>
      </w:r>
      <w:r w:rsidR="00042C8E">
        <w:t>其他法令有關禁、限建或使用之規定</w:t>
      </w:r>
      <w:r>
        <w:t>。</w:t>
      </w:r>
    </w:p>
    <w:p w14:paraId="7A93A50B" w14:textId="081FAD4A" w:rsidR="005B6C71" w:rsidRDefault="005B6C71" w:rsidP="00042C8E">
      <w:pPr>
        <w:ind w:left="142"/>
        <w:jc w:val="both"/>
      </w:pPr>
      <w:r w:rsidRPr="005B6C71">
        <w:rPr>
          <w:color w:val="404040" w:themeColor="text1" w:themeTint="BF"/>
          <w:sz w:val="18"/>
        </w:rPr>
        <w:t>﹝</w:t>
      </w:r>
      <w:r w:rsidRPr="005B6C71">
        <w:rPr>
          <w:color w:val="404040" w:themeColor="text1" w:themeTint="BF"/>
          <w:sz w:val="18"/>
        </w:rPr>
        <w:t>2</w:t>
      </w:r>
      <w:r w:rsidRPr="005B6C71">
        <w:rPr>
          <w:color w:val="404040" w:themeColor="text1" w:themeTint="BF"/>
          <w:sz w:val="18"/>
        </w:rPr>
        <w:t>﹞</w:t>
      </w:r>
      <w:r>
        <w:t>前項第一款及第二款，直轄市、縣（市）政府另訂加氫站面臨之道路寬度或臨街面寬規定者，從其規定。</w:t>
      </w:r>
    </w:p>
    <w:p w14:paraId="388D1432" w14:textId="50BD58D1" w:rsidR="00042C8E" w:rsidRDefault="005B6C71" w:rsidP="00042C8E">
      <w:pPr>
        <w:ind w:left="142"/>
        <w:jc w:val="both"/>
      </w:pPr>
      <w:r w:rsidRPr="005B6C71">
        <w:rPr>
          <w:color w:val="404040" w:themeColor="text1" w:themeTint="BF"/>
          <w:sz w:val="18"/>
        </w:rPr>
        <w:t>﹝</w:t>
      </w:r>
      <w:r w:rsidRPr="005B6C71">
        <w:rPr>
          <w:color w:val="404040" w:themeColor="text1" w:themeTint="BF"/>
          <w:sz w:val="18"/>
        </w:rPr>
        <w:t>3</w:t>
      </w:r>
      <w:r w:rsidRPr="005B6C71">
        <w:rPr>
          <w:color w:val="404040" w:themeColor="text1" w:themeTint="BF"/>
          <w:sz w:val="18"/>
        </w:rPr>
        <w:t>﹞</w:t>
      </w:r>
      <w:r w:rsidR="00042C8E">
        <w:t>第一項第三款加氫站基地與公私立高級中等學校、國民中學、國民小學及當地直轄市、縣（市）政府認定須保持交通安全之公共設施距離之計算，為加氫站地界至公私立高級中等學校、國民中學、國民小學、公共設施出入口（含大門、側門）之距離。但各直轄市、縣（市）政府依其社會環境與交通狀況已另訂距離測量方式者，應依其規定。</w:t>
      </w:r>
    </w:p>
    <w:p w14:paraId="23D05EAE" w14:textId="179D2A89" w:rsidR="006854C7" w:rsidRDefault="000B4EA2" w:rsidP="00042C8E">
      <w:pPr>
        <w:ind w:left="142"/>
        <w:jc w:val="both"/>
      </w:pPr>
      <w:r>
        <w:rPr>
          <w:rFonts w:ascii="Arial Unicode MS" w:hAnsi="Arial Unicode MS"/>
          <w:color w:val="808000"/>
          <w:sz w:val="18"/>
        </w:rPr>
        <w:t xml:space="preserve">　　　　　　　　　　　　　　　　　　　　　　　　　　　　　　　　　　　　　　　　　　　　　　　　　</w:t>
      </w:r>
      <w:hyperlink w:anchor="a章節索引" w:history="1">
        <w:r w:rsidRPr="003555EC">
          <w:rPr>
            <w:rStyle w:val="a3"/>
            <w:rFonts w:ascii="Arial Unicode MS" w:hAnsi="Arial Unicode MS" w:hint="eastAsia"/>
            <w:sz w:val="18"/>
          </w:rPr>
          <w:t>回索引</w:t>
        </w:r>
      </w:hyperlink>
      <w:r>
        <w:rPr>
          <w:rFonts w:ascii="Arial Unicode MS" w:hAnsi="Arial Unicode MS" w:hint="eastAsia"/>
          <w:color w:val="808000"/>
          <w:sz w:val="18"/>
        </w:rPr>
        <w:t>〉〉</w:t>
      </w:r>
    </w:p>
    <w:p w14:paraId="174C91D1" w14:textId="77777777" w:rsidR="00042C8E" w:rsidRDefault="00042C8E" w:rsidP="006854C7">
      <w:pPr>
        <w:pStyle w:val="1"/>
      </w:pPr>
      <w:bookmarkStart w:id="9" w:name="_第三章__設備本條文有附件"/>
      <w:bookmarkEnd w:id="9"/>
      <w:r>
        <w:t>第三章　　設備本條文有附件</w:t>
      </w:r>
    </w:p>
    <w:p w14:paraId="5BA21865" w14:textId="77777777" w:rsidR="005B6C71" w:rsidRDefault="00042C8E" w:rsidP="00042C8E">
      <w:pPr>
        <w:pStyle w:val="2"/>
      </w:pPr>
      <w:bookmarkStart w:id="10" w:name="a6"/>
      <w:bookmarkEnd w:id="10"/>
      <w:r>
        <w:t>第</w:t>
      </w:r>
      <w:r>
        <w:t>6</w:t>
      </w:r>
      <w:r w:rsidR="005B6C71">
        <w:t>條</w:t>
      </w:r>
    </w:p>
    <w:p w14:paraId="53B3C23C" w14:textId="628701DA" w:rsidR="00042C8E"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加氫站應具備基本設施如下：</w:t>
      </w:r>
    </w:p>
    <w:p w14:paraId="5237DA58" w14:textId="77777777" w:rsidR="005B6C71" w:rsidRDefault="00042C8E" w:rsidP="00042C8E">
      <w:pPr>
        <w:ind w:left="142"/>
        <w:jc w:val="both"/>
      </w:pPr>
      <w:r>
        <w:t xml:space="preserve">　　一、儲氫槽（含固定式管束槽車）</w:t>
      </w:r>
      <w:r w:rsidR="005B6C71">
        <w:t>。</w:t>
      </w:r>
    </w:p>
    <w:p w14:paraId="145D6CA8" w14:textId="098073AE" w:rsidR="005B6C71" w:rsidRDefault="005B6C71" w:rsidP="00042C8E">
      <w:pPr>
        <w:ind w:left="142"/>
        <w:jc w:val="both"/>
      </w:pPr>
      <w:r>
        <w:t xml:space="preserve">　　二、</w:t>
      </w:r>
      <w:r w:rsidR="00042C8E">
        <w:t>氫氣處理設備</w:t>
      </w:r>
      <w:r>
        <w:t>。</w:t>
      </w:r>
    </w:p>
    <w:p w14:paraId="17E64029" w14:textId="01619B07" w:rsidR="005B6C71" w:rsidRDefault="005B6C71" w:rsidP="00042C8E">
      <w:pPr>
        <w:ind w:left="142"/>
        <w:jc w:val="both"/>
      </w:pPr>
      <w:r>
        <w:t xml:space="preserve">　　三、</w:t>
      </w:r>
      <w:r w:rsidR="00042C8E">
        <w:t>加氫機</w:t>
      </w:r>
      <w:r>
        <w:t>。</w:t>
      </w:r>
    </w:p>
    <w:p w14:paraId="3565D96F" w14:textId="37388A63" w:rsidR="005B6C71" w:rsidRDefault="005B6C71" w:rsidP="00042C8E">
      <w:pPr>
        <w:ind w:left="142"/>
        <w:jc w:val="both"/>
      </w:pPr>
      <w:r>
        <w:t xml:space="preserve">　　四、</w:t>
      </w:r>
      <w:r w:rsidR="00042C8E">
        <w:t>營業站屋</w:t>
      </w:r>
      <w:r>
        <w:t>。</w:t>
      </w:r>
    </w:p>
    <w:p w14:paraId="308E6D4B" w14:textId="05682A0C" w:rsidR="00042C8E" w:rsidRDefault="005B6C71" w:rsidP="00042C8E">
      <w:pPr>
        <w:ind w:left="142"/>
        <w:jc w:val="both"/>
      </w:pPr>
      <w:r w:rsidRPr="005B6C71">
        <w:rPr>
          <w:color w:val="404040" w:themeColor="text1" w:themeTint="BF"/>
          <w:sz w:val="18"/>
        </w:rPr>
        <w:t>﹝</w:t>
      </w:r>
      <w:r w:rsidRPr="005B6C71">
        <w:rPr>
          <w:color w:val="404040" w:themeColor="text1" w:themeTint="BF"/>
          <w:sz w:val="18"/>
        </w:rPr>
        <w:t>2</w:t>
      </w:r>
      <w:r w:rsidRPr="005B6C71">
        <w:rPr>
          <w:color w:val="404040" w:themeColor="text1" w:themeTint="BF"/>
          <w:sz w:val="18"/>
        </w:rPr>
        <w:t>﹞</w:t>
      </w:r>
      <w:r w:rsidR="00042C8E">
        <w:t>加氫站設施及安全距離，應依職業安全衛生相關規定辦理外，並應符合下列規定：</w:t>
      </w:r>
    </w:p>
    <w:p w14:paraId="20224EA7" w14:textId="77777777" w:rsidR="005B6C71" w:rsidRDefault="00042C8E" w:rsidP="00042C8E">
      <w:pPr>
        <w:ind w:left="142"/>
        <w:jc w:val="both"/>
      </w:pPr>
      <w:r>
        <w:t xml:space="preserve">　　一、加氫站應於地界周圍內，以鋼筋混凝土構築高度二公尺以上，厚度二十五公分以上之防護牆，其轉角處以長度、寬度各為三十五公分以上之加強柱連接。但出入口臨接道路面及臨接道路側四公尺範圍內、基地臨接永久性空地或山坡之地界且設站基地已有擋土牆構造者，不在此限</w:t>
      </w:r>
      <w:r w:rsidR="005B6C71">
        <w:t>。</w:t>
      </w:r>
    </w:p>
    <w:p w14:paraId="179A8AE0" w14:textId="613DEE23" w:rsidR="005B6C71" w:rsidRDefault="005B6C71" w:rsidP="00042C8E">
      <w:pPr>
        <w:ind w:left="142"/>
        <w:jc w:val="both"/>
      </w:pPr>
      <w:r>
        <w:t xml:space="preserve">　　二、</w:t>
      </w:r>
      <w:r w:rsidR="00042C8E">
        <w:t>儲氫槽及氫氣處理設備自其外緣至</w:t>
      </w:r>
      <w:hyperlink w:anchor="a7" w:history="1">
        <w:r w:rsidR="00042C8E" w:rsidRPr="00506F9B">
          <w:rPr>
            <w:rStyle w:val="a3"/>
            <w:rFonts w:ascii="Times New Roman" w:hAnsi="Times New Roman"/>
          </w:rPr>
          <w:t>第七條</w:t>
        </w:r>
      </w:hyperlink>
      <w:r w:rsidR="00042C8E">
        <w:t>所定第一類保護物及第二類保護物之安全距離，應符合</w:t>
      </w:r>
      <w:hyperlink r:id="rId18" w:history="1">
        <w:r w:rsidR="00042C8E" w:rsidRPr="00341D90">
          <w:rPr>
            <w:rStyle w:val="a3"/>
            <w:rFonts w:ascii="Times New Roman" w:hAnsi="Times New Roman"/>
          </w:rPr>
          <w:t>附表</w:t>
        </w:r>
      </w:hyperlink>
      <w:r w:rsidR="00042C8E">
        <w:t>規定</w:t>
      </w:r>
      <w:r>
        <w:t>。</w:t>
      </w:r>
    </w:p>
    <w:p w14:paraId="5EBD92AD" w14:textId="3AE157ED" w:rsidR="005B6C71" w:rsidRDefault="005B6C71" w:rsidP="00042C8E">
      <w:pPr>
        <w:ind w:left="142"/>
        <w:jc w:val="both"/>
      </w:pPr>
      <w:r>
        <w:t xml:space="preserve">　　三、</w:t>
      </w:r>
      <w:r w:rsidR="00042C8E">
        <w:t>氫能車輛加氫位置應距儲氫槽至少三公尺以上。但儲氫槽與車輛之間已安裝護欄時，不在此限</w:t>
      </w:r>
      <w:r>
        <w:t>。</w:t>
      </w:r>
    </w:p>
    <w:p w14:paraId="3D2372FF" w14:textId="21470AA3" w:rsidR="005B6C71" w:rsidRDefault="005B6C71" w:rsidP="00042C8E">
      <w:pPr>
        <w:ind w:left="142"/>
        <w:jc w:val="both"/>
      </w:pPr>
      <w:r>
        <w:t xml:space="preserve">　　四、</w:t>
      </w:r>
      <w:r w:rsidR="00042C8E">
        <w:t>儲氫槽及加氫機各設施應與加氫站地界保持八公尺以上之距離</w:t>
      </w:r>
      <w:r>
        <w:t>。</w:t>
      </w:r>
    </w:p>
    <w:p w14:paraId="16D36934" w14:textId="0B184B96" w:rsidR="005B6C71" w:rsidRDefault="005B6C71" w:rsidP="00042C8E">
      <w:pPr>
        <w:ind w:left="142"/>
        <w:jc w:val="both"/>
      </w:pPr>
      <w:r>
        <w:t xml:space="preserve">　　五、</w:t>
      </w:r>
      <w:r w:rsidR="00042C8E">
        <w:t>加氫機與道路邊界線相距八公尺以上</w:t>
      </w:r>
      <w:r>
        <w:t>。</w:t>
      </w:r>
    </w:p>
    <w:p w14:paraId="0ED8754D" w14:textId="21D076B0" w:rsidR="005B6C71" w:rsidRDefault="005B6C71" w:rsidP="00042C8E">
      <w:pPr>
        <w:ind w:left="142"/>
        <w:jc w:val="both"/>
      </w:pPr>
      <w:r>
        <w:t xml:space="preserve">　　六、</w:t>
      </w:r>
      <w:r w:rsidR="00042C8E">
        <w:t>加氫機需採取防止洩漏及防止壓縮氫氣過充填之措施</w:t>
      </w:r>
      <w:r>
        <w:t>。</w:t>
      </w:r>
    </w:p>
    <w:p w14:paraId="5C0F832A" w14:textId="7D4BB77A" w:rsidR="005B6C71" w:rsidRDefault="005B6C71" w:rsidP="00042C8E">
      <w:pPr>
        <w:ind w:left="142"/>
        <w:jc w:val="both"/>
      </w:pPr>
      <w:r>
        <w:t xml:space="preserve">　　七、</w:t>
      </w:r>
      <w:r w:rsidR="00042C8E">
        <w:t>加氫站上空不得有高壓架空電線通過，且加氫機上方之屋頂須採用不燃材料，並具有防止氫氣滯留之結構</w:t>
      </w:r>
      <w:r>
        <w:t>。</w:t>
      </w:r>
    </w:p>
    <w:p w14:paraId="38B9FF75" w14:textId="190E8E56" w:rsidR="005B6C71" w:rsidRDefault="005B6C71" w:rsidP="00042C8E">
      <w:pPr>
        <w:ind w:left="142"/>
        <w:jc w:val="both"/>
      </w:pPr>
      <w:r>
        <w:t xml:space="preserve">　　八、</w:t>
      </w:r>
      <w:r w:rsidR="00042C8E">
        <w:t>儲氫槽之槽體外表須做防銹蝕保護措施，並以螺栓固定之</w:t>
      </w:r>
      <w:r>
        <w:t>。</w:t>
      </w:r>
    </w:p>
    <w:p w14:paraId="2B0D1FB0" w14:textId="39DCB9BF" w:rsidR="005B6C71" w:rsidRDefault="005B6C71" w:rsidP="00042C8E">
      <w:pPr>
        <w:ind w:left="142"/>
        <w:jc w:val="both"/>
      </w:pPr>
      <w:r>
        <w:t xml:space="preserve">　　九、</w:t>
      </w:r>
      <w:r w:rsidR="00042C8E">
        <w:t>儲氫槽地面四周，除操作門外，應設高度一點八公尺以上之欄杆、網牆或隔板</w:t>
      </w:r>
      <w:r>
        <w:t>。</w:t>
      </w:r>
    </w:p>
    <w:p w14:paraId="18DB5EAB" w14:textId="428BC8A2" w:rsidR="005B6C71" w:rsidRDefault="005B6C71" w:rsidP="00042C8E">
      <w:pPr>
        <w:ind w:left="142"/>
        <w:jc w:val="both"/>
      </w:pPr>
      <w:r>
        <w:t xml:space="preserve">　　十、</w:t>
      </w:r>
      <w:r w:rsidR="00042C8E">
        <w:t>加氫機與車道間應設置防止車輛衝撞加氫機之設施</w:t>
      </w:r>
      <w:r>
        <w:t>。</w:t>
      </w:r>
    </w:p>
    <w:p w14:paraId="047E8588" w14:textId="49DA748D" w:rsidR="00042C8E" w:rsidRDefault="005B6C71" w:rsidP="00042C8E">
      <w:pPr>
        <w:ind w:left="142"/>
        <w:jc w:val="both"/>
      </w:pPr>
      <w:r>
        <w:t xml:space="preserve">　　十一、</w:t>
      </w:r>
      <w:r w:rsidR="00042C8E">
        <w:t>加氫區應設置偵測火焰與偵測洩漏之裝置及加氫站內應設置偵測地震之裝置，並於偵測觸發時自動發出警報並遮斷氫氣供應。</w:t>
      </w:r>
    </w:p>
    <w:p w14:paraId="279882B3" w14:textId="77777777" w:rsidR="005B6C71" w:rsidRDefault="00042C8E" w:rsidP="00042C8E">
      <w:pPr>
        <w:pStyle w:val="2"/>
      </w:pPr>
      <w:bookmarkStart w:id="11" w:name="a7"/>
      <w:bookmarkEnd w:id="11"/>
      <w:r>
        <w:t>第</w:t>
      </w:r>
      <w:r>
        <w:t>7</w:t>
      </w:r>
      <w:r w:rsidR="005B6C71">
        <w:t>條</w:t>
      </w:r>
    </w:p>
    <w:p w14:paraId="7703C015" w14:textId="101097B2" w:rsidR="00042C8E"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前條第二項第二款所稱第一類保護物及第二類保護物定義如下：</w:t>
      </w:r>
    </w:p>
    <w:p w14:paraId="4C428DD0" w14:textId="1E09503F" w:rsidR="00042C8E" w:rsidRDefault="00042C8E" w:rsidP="00042C8E">
      <w:pPr>
        <w:ind w:left="142"/>
        <w:jc w:val="both"/>
      </w:pPr>
      <w:r>
        <w:t xml:space="preserve">　　一、第一類保護物指下列場所：</w:t>
      </w:r>
    </w:p>
    <w:p w14:paraId="29D54EB4" w14:textId="77777777" w:rsidR="005B6C71" w:rsidRDefault="00042C8E" w:rsidP="00042C8E">
      <w:pPr>
        <w:ind w:left="142"/>
        <w:jc w:val="both"/>
      </w:pPr>
      <w:r>
        <w:t xml:space="preserve">　　（一）學校：包括公私立大專院校、高級中等學校、國民中學、國民小學及幼兒園之建築物</w:t>
      </w:r>
      <w:r w:rsidR="005B6C71">
        <w:t>。</w:t>
      </w:r>
    </w:p>
    <w:p w14:paraId="34A4A8AA" w14:textId="766E65D1" w:rsidR="005B6C71" w:rsidRDefault="005B6C71" w:rsidP="00042C8E">
      <w:pPr>
        <w:ind w:left="142"/>
        <w:jc w:val="both"/>
      </w:pPr>
      <w:r>
        <w:lastRenderedPageBreak/>
        <w:t xml:space="preserve">　　（</w:t>
      </w:r>
      <w:r w:rsidR="00042C8E">
        <w:t>二）具有十個病床設備以上之診所、醫院</w:t>
      </w:r>
      <w:r>
        <w:t>。</w:t>
      </w:r>
    </w:p>
    <w:p w14:paraId="7792AABA" w14:textId="6479730C" w:rsidR="005B6C71" w:rsidRDefault="005B6C71" w:rsidP="00042C8E">
      <w:pPr>
        <w:ind w:left="142"/>
        <w:jc w:val="both"/>
      </w:pPr>
      <w:r>
        <w:t xml:space="preserve">　　（</w:t>
      </w:r>
      <w:r w:rsidR="00042C8E">
        <w:t>三）可容納三百人以上之公共場所，如戲院、電影院、歌廳、舞廳、圖書館、體育館、寺廟</w:t>
      </w:r>
      <w:r>
        <w:t>。</w:t>
      </w:r>
    </w:p>
    <w:p w14:paraId="262246D3" w14:textId="78669703" w:rsidR="005B6C71" w:rsidRDefault="005B6C71" w:rsidP="00042C8E">
      <w:pPr>
        <w:ind w:left="142"/>
        <w:jc w:val="both"/>
      </w:pPr>
      <w:r>
        <w:t xml:space="preserve">　　（</w:t>
      </w:r>
      <w:r w:rsidR="00042C8E">
        <w:t>四）可容納二十人以上之兒童及少年、老人、身心障礙福利機構</w:t>
      </w:r>
      <w:r>
        <w:t>。</w:t>
      </w:r>
    </w:p>
    <w:p w14:paraId="7EE784E2" w14:textId="5C81CB83" w:rsidR="005B6C71" w:rsidRDefault="005B6C71" w:rsidP="00042C8E">
      <w:pPr>
        <w:ind w:left="142"/>
        <w:jc w:val="both"/>
      </w:pPr>
      <w:r>
        <w:t xml:space="preserve">　　（</w:t>
      </w:r>
      <w:r w:rsidR="00042C8E">
        <w:t>五）重要文物古蹟</w:t>
      </w:r>
      <w:r>
        <w:t>。</w:t>
      </w:r>
    </w:p>
    <w:p w14:paraId="47A51A48" w14:textId="34A260BA" w:rsidR="005B6C71" w:rsidRDefault="005B6C71" w:rsidP="00042C8E">
      <w:pPr>
        <w:ind w:left="142"/>
        <w:jc w:val="both"/>
      </w:pPr>
      <w:r>
        <w:t xml:space="preserve">　　（</w:t>
      </w:r>
      <w:r w:rsidR="00042C8E">
        <w:t>六）博物館、美術館</w:t>
      </w:r>
      <w:r>
        <w:t>。</w:t>
      </w:r>
    </w:p>
    <w:p w14:paraId="440EC5F7" w14:textId="54CD1014" w:rsidR="005B6C71" w:rsidRDefault="005B6C71" w:rsidP="00042C8E">
      <w:pPr>
        <w:ind w:left="142"/>
        <w:jc w:val="both"/>
      </w:pPr>
      <w:r>
        <w:t xml:space="preserve">　　（</w:t>
      </w:r>
      <w:r w:rsidR="00042C8E">
        <w:t>七）每日平均有二萬人以上進出之車站、月臺</w:t>
      </w:r>
      <w:r>
        <w:t>。</w:t>
      </w:r>
    </w:p>
    <w:p w14:paraId="5653E8B8" w14:textId="37389BAF" w:rsidR="005B6C71" w:rsidRDefault="005B6C71" w:rsidP="00042C8E">
      <w:pPr>
        <w:ind w:left="142"/>
        <w:jc w:val="both"/>
      </w:pPr>
      <w:r>
        <w:t xml:space="preserve">　　（</w:t>
      </w:r>
      <w:r w:rsidR="00042C8E">
        <w:t>八）其用途部分之樓地板面積在一千平方公尺以上之百貨公司、市場、旅館、公共浴室、紀念堂、集會所及其他容納人數眾多之建築物</w:t>
      </w:r>
      <w:r>
        <w:t>。</w:t>
      </w:r>
    </w:p>
    <w:p w14:paraId="0BD48834" w14:textId="38CEF97D" w:rsidR="00042C8E" w:rsidRDefault="005B6C71" w:rsidP="00042C8E">
      <w:pPr>
        <w:ind w:left="142"/>
        <w:jc w:val="both"/>
      </w:pPr>
      <w:r>
        <w:t xml:space="preserve">　　二、</w:t>
      </w:r>
      <w:r w:rsidR="00042C8E">
        <w:t>第二類保護物：除第一類保護物之外，供人居住之合法建築物。</w:t>
      </w:r>
    </w:p>
    <w:p w14:paraId="65814D49" w14:textId="77777777" w:rsidR="005B6C71" w:rsidRDefault="00042C8E" w:rsidP="00042C8E">
      <w:pPr>
        <w:pStyle w:val="2"/>
      </w:pPr>
      <w:bookmarkStart w:id="12" w:name="a8"/>
      <w:bookmarkEnd w:id="12"/>
      <w:r>
        <w:t>第</w:t>
      </w:r>
      <w:r>
        <w:t>8</w:t>
      </w:r>
      <w:r w:rsidR="005B6C71">
        <w:t>條</w:t>
      </w:r>
    </w:p>
    <w:p w14:paraId="2F42F360" w14:textId="57FED048" w:rsidR="00042C8E"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加氫站應於下列場所設置標示、標誌及標線：</w:t>
      </w:r>
    </w:p>
    <w:p w14:paraId="757BD664" w14:textId="77777777" w:rsidR="005B6C71" w:rsidRDefault="00042C8E" w:rsidP="00042C8E">
      <w:pPr>
        <w:ind w:left="142"/>
        <w:jc w:val="both"/>
      </w:pPr>
      <w:r>
        <w:t xml:space="preserve">　　一、明顯處標示營業主體、站名、營業時間及售氫價格</w:t>
      </w:r>
      <w:r w:rsidR="005B6C71">
        <w:t>。</w:t>
      </w:r>
    </w:p>
    <w:p w14:paraId="1530A9AC" w14:textId="46A78945" w:rsidR="005B6C71" w:rsidRDefault="005B6C71" w:rsidP="00042C8E">
      <w:pPr>
        <w:ind w:left="142"/>
        <w:jc w:val="both"/>
      </w:pPr>
      <w:r>
        <w:t xml:space="preserve">　　二、</w:t>
      </w:r>
      <w:r w:rsidR="00042C8E">
        <w:t>儲氫槽區設「嚴禁煙火」、加氫區每座泵島設「嚴禁煙火」、「熄火加氫」及儲氫槽區操作門旁設「儲氫槽區非安全作業人員禁止進入」之警戒標誌，並以紅底白字標示金屬板製作</w:t>
      </w:r>
      <w:r>
        <w:t>。</w:t>
      </w:r>
    </w:p>
    <w:p w14:paraId="43B4F8D7" w14:textId="2B7AC9D5" w:rsidR="005B6C71" w:rsidRDefault="005B6C71" w:rsidP="00042C8E">
      <w:pPr>
        <w:ind w:left="142"/>
        <w:jc w:val="both"/>
      </w:pPr>
      <w:r>
        <w:t xml:space="preserve">　　三、</w:t>
      </w:r>
      <w:r w:rsidR="00042C8E">
        <w:t>緊急遮斷操作開關旁設「緊急遮斷閥操作位置」、槽車卸收區設「卸收作業程序」、明顯位置設「安全工作守則」與「緊急應變措施」、各開關閥門應懸掛「開」與「關」及加氫區每座泵島設置「安全作業指導」之標誌，並以白底紅字標示金屬板製作</w:t>
      </w:r>
      <w:r>
        <w:t>。</w:t>
      </w:r>
    </w:p>
    <w:p w14:paraId="29DA4F8B" w14:textId="640E360C" w:rsidR="00042C8E" w:rsidRDefault="005B6C71" w:rsidP="00042C8E">
      <w:pPr>
        <w:ind w:left="142"/>
        <w:jc w:val="both"/>
      </w:pPr>
      <w:r>
        <w:t xml:space="preserve">　　四、</w:t>
      </w:r>
      <w:r w:rsidR="00042C8E">
        <w:t>加氫站出入口設方向標誌，並於地面劃白色箭頭、氫氣槽車卸收區劃黃色方框及車輛加氫位置劃白色方框之標線。</w:t>
      </w:r>
    </w:p>
    <w:p w14:paraId="0A0C75A0" w14:textId="77777777" w:rsidR="005B6C71" w:rsidRDefault="00042C8E" w:rsidP="00042C8E">
      <w:pPr>
        <w:pStyle w:val="2"/>
      </w:pPr>
      <w:bookmarkStart w:id="13" w:name="a9"/>
      <w:bookmarkEnd w:id="13"/>
      <w:r>
        <w:t>第</w:t>
      </w:r>
      <w:r>
        <w:t>9</w:t>
      </w:r>
      <w:r w:rsidR="005B6C71">
        <w:t>條</w:t>
      </w:r>
    </w:p>
    <w:p w14:paraId="6B44A732" w14:textId="5C8284F6" w:rsidR="00042C8E"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加氫站設施、氣體漏洩檢知警報設備及其他營運配置應符合職業安全衛生法令、勞動檢查法令、消防法令及其他有關法令之規定。</w:t>
      </w:r>
    </w:p>
    <w:p w14:paraId="519AD6D9" w14:textId="0CF4A779" w:rsidR="006854C7" w:rsidRPr="006854C7" w:rsidRDefault="000B4EA2" w:rsidP="00042C8E">
      <w:pPr>
        <w:ind w:left="142"/>
        <w:jc w:val="both"/>
      </w:pPr>
      <w:r>
        <w:rPr>
          <w:rFonts w:ascii="Arial Unicode MS" w:hAnsi="Arial Unicode MS"/>
          <w:color w:val="808000"/>
          <w:sz w:val="18"/>
        </w:rPr>
        <w:t xml:space="preserve">　　　　　　　　　　　　　　　　　　　　　　　　　　　　　　　　　　　　　　　　　　　　　　　　　</w:t>
      </w:r>
      <w:hyperlink w:anchor="a章節索引" w:history="1">
        <w:r w:rsidRPr="003555EC">
          <w:rPr>
            <w:rStyle w:val="a3"/>
            <w:rFonts w:ascii="Arial Unicode MS" w:hAnsi="Arial Unicode MS" w:hint="eastAsia"/>
            <w:sz w:val="18"/>
          </w:rPr>
          <w:t>回索引</w:t>
        </w:r>
      </w:hyperlink>
      <w:r>
        <w:rPr>
          <w:rFonts w:ascii="Arial Unicode MS" w:hAnsi="Arial Unicode MS" w:hint="eastAsia"/>
          <w:color w:val="808000"/>
          <w:sz w:val="18"/>
        </w:rPr>
        <w:t>〉〉</w:t>
      </w:r>
    </w:p>
    <w:p w14:paraId="43CF0C72" w14:textId="77777777" w:rsidR="00042C8E" w:rsidRDefault="00042C8E" w:rsidP="006854C7">
      <w:pPr>
        <w:pStyle w:val="1"/>
      </w:pPr>
      <w:bookmarkStart w:id="14" w:name="_第四章__申請程序"/>
      <w:bookmarkEnd w:id="14"/>
      <w:r>
        <w:t>第四章　　申請程序</w:t>
      </w:r>
    </w:p>
    <w:p w14:paraId="5752603E" w14:textId="77777777" w:rsidR="005B6C71" w:rsidRDefault="00042C8E" w:rsidP="00042C8E">
      <w:pPr>
        <w:pStyle w:val="2"/>
      </w:pPr>
      <w:bookmarkStart w:id="15" w:name="a10"/>
      <w:bookmarkEnd w:id="15"/>
      <w:r>
        <w:t>第</w:t>
      </w:r>
      <w:r>
        <w:t>10</w:t>
      </w:r>
      <w:r w:rsidR="005B6C71">
        <w:t>條</w:t>
      </w:r>
    </w:p>
    <w:p w14:paraId="1C3781D8" w14:textId="598087CD" w:rsidR="00042C8E"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申請設置經營加氫站者，除本辦法另有規定外，應檢具下列文件，向直轄市、縣（市）主管機關申請籌建之核准：</w:t>
      </w:r>
    </w:p>
    <w:p w14:paraId="465DFAE3" w14:textId="77777777" w:rsidR="005B6C71" w:rsidRDefault="00042C8E" w:rsidP="00042C8E">
      <w:pPr>
        <w:ind w:left="142"/>
        <w:jc w:val="both"/>
      </w:pPr>
      <w:r>
        <w:t xml:space="preserve">　　一、申請書</w:t>
      </w:r>
      <w:r w:rsidR="005B6C71">
        <w:t>。</w:t>
      </w:r>
    </w:p>
    <w:p w14:paraId="43CDC7EF" w14:textId="2B4F1863" w:rsidR="005B6C71" w:rsidRDefault="005B6C71" w:rsidP="00042C8E">
      <w:pPr>
        <w:ind w:left="142"/>
        <w:jc w:val="both"/>
      </w:pPr>
      <w:r>
        <w:t xml:space="preserve">　　二、</w:t>
      </w:r>
      <w:r w:rsidR="00042C8E">
        <w:t>設站基地之土地所有權狀影本或土地使用權同意書、土地登記簿謄本及地籍圖謄本</w:t>
      </w:r>
      <w:r>
        <w:t>。</w:t>
      </w:r>
    </w:p>
    <w:p w14:paraId="5171235E" w14:textId="662AE2AD" w:rsidR="005B6C71" w:rsidRDefault="005B6C71" w:rsidP="00042C8E">
      <w:pPr>
        <w:ind w:left="142"/>
        <w:jc w:val="both"/>
      </w:pPr>
      <w:r>
        <w:t xml:space="preserve">　　三、</w:t>
      </w:r>
      <w:r w:rsidR="00042C8E">
        <w:t>負責人身分證影本。如以公司、商業、有限合夥或其籌備處申請者，並應檢附設立登記證明文件影本或經核定之設立登記或變更登記預查證明文件影本</w:t>
      </w:r>
      <w:r>
        <w:t>。</w:t>
      </w:r>
    </w:p>
    <w:p w14:paraId="493C4F8F" w14:textId="1514419C" w:rsidR="005B6C71" w:rsidRDefault="005B6C71" w:rsidP="00042C8E">
      <w:pPr>
        <w:ind w:left="142"/>
        <w:jc w:val="both"/>
      </w:pPr>
      <w:r>
        <w:t xml:space="preserve">　　四、</w:t>
      </w:r>
      <w:r w:rsidR="00042C8E">
        <w:t>設站位置及附近狀況圖</w:t>
      </w:r>
      <w:r>
        <w:t>。</w:t>
      </w:r>
    </w:p>
    <w:p w14:paraId="0BDF3B95" w14:textId="44489A6F" w:rsidR="005B6C71" w:rsidRDefault="005B6C71" w:rsidP="00042C8E">
      <w:pPr>
        <w:ind w:left="142"/>
        <w:jc w:val="both"/>
      </w:pPr>
      <w:r>
        <w:t xml:space="preserve">　　五、</w:t>
      </w:r>
      <w:r w:rsidR="00042C8E">
        <w:t>經建築師核章之加氫站平面配置圖，包括加氫站儲氫設施、過壓釋放管、壓縮機、加氫機及相關安全距離等</w:t>
      </w:r>
      <w:r>
        <w:t>。</w:t>
      </w:r>
    </w:p>
    <w:p w14:paraId="74A8C314" w14:textId="7B0CBB0C" w:rsidR="005B6C71" w:rsidRDefault="005B6C71" w:rsidP="00042C8E">
      <w:pPr>
        <w:ind w:left="142"/>
        <w:jc w:val="both"/>
      </w:pPr>
      <w:r>
        <w:t xml:space="preserve">　　六、</w:t>
      </w:r>
      <w:r w:rsidR="00042C8E">
        <w:t>其他經中央主管機關指定之文件</w:t>
      </w:r>
      <w:r>
        <w:t>。</w:t>
      </w:r>
    </w:p>
    <w:p w14:paraId="51E519FA" w14:textId="55D74498" w:rsidR="005B6C71" w:rsidRDefault="005B6C71" w:rsidP="00042C8E">
      <w:pPr>
        <w:ind w:left="142"/>
        <w:jc w:val="both"/>
      </w:pPr>
      <w:r w:rsidRPr="005B6C71">
        <w:rPr>
          <w:color w:val="404040" w:themeColor="text1" w:themeTint="BF"/>
          <w:sz w:val="18"/>
        </w:rPr>
        <w:t>﹝</w:t>
      </w:r>
      <w:r w:rsidRPr="005B6C71">
        <w:rPr>
          <w:color w:val="404040" w:themeColor="text1" w:themeTint="BF"/>
          <w:sz w:val="18"/>
        </w:rPr>
        <w:t>2</w:t>
      </w:r>
      <w:r w:rsidRPr="005B6C71">
        <w:rPr>
          <w:color w:val="404040" w:themeColor="text1" w:themeTint="BF"/>
          <w:sz w:val="18"/>
        </w:rPr>
        <w:t>﹞</w:t>
      </w:r>
      <w:r>
        <w:t>前項申請設站用地屬都市計畫地區土地者，並應檢具直轄市或縣（市）政府核發設站用地同意作加氫站使用之證明文件。</w:t>
      </w:r>
    </w:p>
    <w:p w14:paraId="71FFA3C0" w14:textId="41743FB0" w:rsidR="00042C8E" w:rsidRDefault="005B6C71" w:rsidP="00042C8E">
      <w:pPr>
        <w:ind w:left="142"/>
        <w:jc w:val="both"/>
      </w:pPr>
      <w:r w:rsidRPr="005B6C71">
        <w:rPr>
          <w:color w:val="404040" w:themeColor="text1" w:themeTint="BF"/>
          <w:sz w:val="18"/>
        </w:rPr>
        <w:t>﹝</w:t>
      </w:r>
      <w:r w:rsidRPr="005B6C71">
        <w:rPr>
          <w:color w:val="404040" w:themeColor="text1" w:themeTint="BF"/>
          <w:sz w:val="18"/>
        </w:rPr>
        <w:t>3</w:t>
      </w:r>
      <w:r w:rsidRPr="005B6C71">
        <w:rPr>
          <w:color w:val="404040" w:themeColor="text1" w:themeTint="BF"/>
          <w:sz w:val="18"/>
        </w:rPr>
        <w:t>﹞</w:t>
      </w:r>
      <w:r w:rsidR="00042C8E">
        <w:t>第一項申請設站用地屬依原</w:t>
      </w:r>
      <w:hyperlink r:id="rId19" w:history="1">
        <w:r w:rsidR="00042C8E" w:rsidRPr="00765E4E">
          <w:rPr>
            <w:rStyle w:val="a3"/>
            <w:rFonts w:ascii="Times New Roman" w:hAnsi="Times New Roman"/>
          </w:rPr>
          <w:t>獎勵投資條例</w:t>
        </w:r>
      </w:hyperlink>
      <w:r w:rsidR="00042C8E">
        <w:t>、原</w:t>
      </w:r>
      <w:hyperlink r:id="rId20" w:history="1">
        <w:r w:rsidR="00042C8E" w:rsidRPr="00765E4E">
          <w:rPr>
            <w:rStyle w:val="a3"/>
            <w:rFonts w:ascii="Times New Roman" w:hAnsi="Times New Roman"/>
          </w:rPr>
          <w:t>促進產業升級條例</w:t>
        </w:r>
      </w:hyperlink>
      <w:r w:rsidR="00042C8E">
        <w:t>編定之工業區或依</w:t>
      </w:r>
      <w:hyperlink r:id="rId21" w:history="1">
        <w:r w:rsidR="00042C8E" w:rsidRPr="002E24E1">
          <w:rPr>
            <w:rStyle w:val="a3"/>
            <w:rFonts w:ascii="Times New Roman" w:hAnsi="Times New Roman"/>
          </w:rPr>
          <w:t>產業創新條例</w:t>
        </w:r>
      </w:hyperlink>
      <w:r w:rsidR="00042C8E">
        <w:t>設置之產業園區者，並應檢具工業區或產業園區主管機關核准規劃為加氫站用地之證明文件。</w:t>
      </w:r>
    </w:p>
    <w:p w14:paraId="6D513A1E" w14:textId="77777777" w:rsidR="005B6C71" w:rsidRDefault="00042C8E" w:rsidP="00042C8E">
      <w:pPr>
        <w:pStyle w:val="2"/>
      </w:pPr>
      <w:bookmarkStart w:id="16" w:name="a11"/>
      <w:bookmarkEnd w:id="16"/>
      <w:r>
        <w:lastRenderedPageBreak/>
        <w:t>第</w:t>
      </w:r>
      <w:r>
        <w:t>11</w:t>
      </w:r>
      <w:r w:rsidR="005B6C71">
        <w:t>條</w:t>
      </w:r>
    </w:p>
    <w:p w14:paraId="453E0A66" w14:textId="6FE10638" w:rsidR="005B6C71"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直轄市、縣（市）主管機關受理前條申請案後，得會同有關機關會勘、審查，符合規定者，核准其籌建</w:t>
      </w:r>
      <w:r>
        <w:t>。</w:t>
      </w:r>
    </w:p>
    <w:p w14:paraId="05A17A4A" w14:textId="0E76BDAA" w:rsidR="00042C8E" w:rsidRDefault="005B6C71" w:rsidP="00042C8E">
      <w:pPr>
        <w:ind w:left="142"/>
        <w:jc w:val="both"/>
      </w:pPr>
      <w:r w:rsidRPr="005B6C71">
        <w:rPr>
          <w:color w:val="404040" w:themeColor="text1" w:themeTint="BF"/>
          <w:sz w:val="18"/>
        </w:rPr>
        <w:t>﹝</w:t>
      </w:r>
      <w:r w:rsidRPr="005B6C71">
        <w:rPr>
          <w:color w:val="404040" w:themeColor="text1" w:themeTint="BF"/>
          <w:sz w:val="18"/>
        </w:rPr>
        <w:t>2</w:t>
      </w:r>
      <w:r w:rsidRPr="005B6C71">
        <w:rPr>
          <w:color w:val="404040" w:themeColor="text1" w:themeTint="BF"/>
          <w:sz w:val="18"/>
        </w:rPr>
        <w:t>﹞</w:t>
      </w:r>
      <w:r w:rsidR="00042C8E">
        <w:t>申請人喪失原取得設站基地之土地所有權或土地使用權時，直轄市、縣（市）主管機關得廢止原籌建核准。</w:t>
      </w:r>
    </w:p>
    <w:p w14:paraId="18BCB312" w14:textId="77777777" w:rsidR="005B6C71" w:rsidRDefault="00042C8E" w:rsidP="00042C8E">
      <w:pPr>
        <w:pStyle w:val="2"/>
      </w:pPr>
      <w:bookmarkStart w:id="17" w:name="a12"/>
      <w:bookmarkEnd w:id="17"/>
      <w:r>
        <w:t>第</w:t>
      </w:r>
      <w:r>
        <w:t>12</w:t>
      </w:r>
      <w:r w:rsidR="005B6C71">
        <w:t>條</w:t>
      </w:r>
    </w:p>
    <w:p w14:paraId="1C000A86" w14:textId="2DE944FE" w:rsidR="00042C8E"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經核准籌建加氫站者，應於核准次日起三年內完成各項營運設備，並檢具下列文件送直轄市、縣（市）主管機關審查，申請加氫站經營許可及執照：</w:t>
      </w:r>
    </w:p>
    <w:p w14:paraId="09F275B6" w14:textId="77777777" w:rsidR="005B6C71" w:rsidRDefault="00042C8E" w:rsidP="00042C8E">
      <w:pPr>
        <w:ind w:left="142"/>
        <w:jc w:val="both"/>
      </w:pPr>
      <w:r>
        <w:t xml:space="preserve">　　一、建築物使用執照影本</w:t>
      </w:r>
      <w:r w:rsidR="005B6C71">
        <w:t>。</w:t>
      </w:r>
    </w:p>
    <w:p w14:paraId="0712D8C7" w14:textId="6F60BF6B" w:rsidR="005B6C71" w:rsidRDefault="005B6C71" w:rsidP="00042C8E">
      <w:pPr>
        <w:ind w:left="142"/>
        <w:jc w:val="both"/>
      </w:pPr>
      <w:r>
        <w:t xml:space="preserve">　　二、</w:t>
      </w:r>
      <w:r w:rsidR="00042C8E">
        <w:t>加氫站及其儲氫槽設施經勞動檢查機構檢查合格之證明文件</w:t>
      </w:r>
      <w:r>
        <w:t>。</w:t>
      </w:r>
    </w:p>
    <w:p w14:paraId="56FAAD64" w14:textId="6E6655BF" w:rsidR="005B6C71" w:rsidRDefault="005B6C71" w:rsidP="00042C8E">
      <w:pPr>
        <w:ind w:left="142"/>
        <w:jc w:val="both"/>
      </w:pPr>
      <w:r>
        <w:t xml:space="preserve">　　三、</w:t>
      </w:r>
      <w:r w:rsidR="00042C8E">
        <w:t>消防安全設備經當地消防主管機關檢查合格之證明文件</w:t>
      </w:r>
      <w:r>
        <w:t>。</w:t>
      </w:r>
    </w:p>
    <w:p w14:paraId="3DF55985" w14:textId="07033A1D" w:rsidR="005B6C71" w:rsidRDefault="005B6C71" w:rsidP="00042C8E">
      <w:pPr>
        <w:ind w:left="142"/>
        <w:jc w:val="both"/>
      </w:pPr>
      <w:r w:rsidRPr="005B6C71">
        <w:rPr>
          <w:color w:val="404040" w:themeColor="text1" w:themeTint="BF"/>
          <w:sz w:val="18"/>
        </w:rPr>
        <w:t>﹝</w:t>
      </w:r>
      <w:r w:rsidRPr="005B6C71">
        <w:rPr>
          <w:color w:val="404040" w:themeColor="text1" w:themeTint="BF"/>
          <w:sz w:val="18"/>
        </w:rPr>
        <w:t>2</w:t>
      </w:r>
      <w:r w:rsidRPr="005B6C71">
        <w:rPr>
          <w:color w:val="404040" w:themeColor="text1" w:themeTint="BF"/>
          <w:sz w:val="18"/>
        </w:rPr>
        <w:t>﹞</w:t>
      </w:r>
      <w:r>
        <w:t>直轄市、縣（市）主管機關對於前項案件，應依加氫站設施查驗表進行檢查及現場實地勘查，審查合格後，報請中央主管機關核發加氫站經營許可及執照。</w:t>
      </w:r>
    </w:p>
    <w:p w14:paraId="23E6437A" w14:textId="20307879" w:rsidR="00042C8E" w:rsidRDefault="005B6C71" w:rsidP="00042C8E">
      <w:pPr>
        <w:ind w:left="142"/>
        <w:jc w:val="both"/>
      </w:pPr>
      <w:r w:rsidRPr="005B6C71">
        <w:rPr>
          <w:color w:val="404040" w:themeColor="text1" w:themeTint="BF"/>
          <w:sz w:val="18"/>
        </w:rPr>
        <w:t>﹝</w:t>
      </w:r>
      <w:r w:rsidRPr="005B6C71">
        <w:rPr>
          <w:color w:val="404040" w:themeColor="text1" w:themeTint="BF"/>
          <w:sz w:val="18"/>
        </w:rPr>
        <w:t>3</w:t>
      </w:r>
      <w:r w:rsidRPr="005B6C71">
        <w:rPr>
          <w:color w:val="404040" w:themeColor="text1" w:themeTint="BF"/>
          <w:sz w:val="18"/>
        </w:rPr>
        <w:t>﹞</w:t>
      </w:r>
      <w:r w:rsidR="00042C8E">
        <w:t>申請人因不可歸責於其之事由，未能於第一項期限內依規定申請加氫站經營許可及執照者，得檢具相關證明文件，於期限屆滿前，向直轄市、縣（市）主管機關申請延展，延展期限每次不得逾六個月。</w:t>
      </w:r>
    </w:p>
    <w:p w14:paraId="6C278B25" w14:textId="6F40B79A" w:rsidR="006854C7" w:rsidRDefault="000B4EA2" w:rsidP="00042C8E">
      <w:pPr>
        <w:ind w:left="142"/>
        <w:jc w:val="both"/>
      </w:pPr>
      <w:r>
        <w:rPr>
          <w:rFonts w:ascii="Arial Unicode MS" w:hAnsi="Arial Unicode MS"/>
          <w:color w:val="808000"/>
          <w:sz w:val="18"/>
        </w:rPr>
        <w:t xml:space="preserve">　　　　　　　　　　　　　　　　　　　　　　　　　　　　　　　　　　　　　　　　　　　　　　　　　</w:t>
      </w:r>
      <w:hyperlink w:anchor="a章節索引" w:history="1">
        <w:r w:rsidRPr="003555EC">
          <w:rPr>
            <w:rStyle w:val="a3"/>
            <w:rFonts w:ascii="Arial Unicode MS" w:hAnsi="Arial Unicode MS" w:hint="eastAsia"/>
            <w:sz w:val="18"/>
          </w:rPr>
          <w:t>回索引</w:t>
        </w:r>
      </w:hyperlink>
      <w:r>
        <w:rPr>
          <w:rFonts w:ascii="Arial Unicode MS" w:hAnsi="Arial Unicode MS" w:hint="eastAsia"/>
          <w:color w:val="808000"/>
          <w:sz w:val="18"/>
        </w:rPr>
        <w:t>〉〉</w:t>
      </w:r>
    </w:p>
    <w:p w14:paraId="53B7520C" w14:textId="77777777" w:rsidR="00042C8E" w:rsidRDefault="00042C8E" w:rsidP="006854C7">
      <w:pPr>
        <w:pStyle w:val="1"/>
      </w:pPr>
      <w:bookmarkStart w:id="18" w:name="_第五章__經營管理"/>
      <w:bookmarkEnd w:id="18"/>
      <w:r>
        <w:t>第五章　　經營管理</w:t>
      </w:r>
    </w:p>
    <w:p w14:paraId="5B68373D" w14:textId="77777777" w:rsidR="005B6C71" w:rsidRDefault="00042C8E" w:rsidP="00042C8E">
      <w:pPr>
        <w:pStyle w:val="2"/>
      </w:pPr>
      <w:bookmarkStart w:id="19" w:name="a13"/>
      <w:bookmarkEnd w:id="19"/>
      <w:r>
        <w:t>第</w:t>
      </w:r>
      <w:r>
        <w:t>13</w:t>
      </w:r>
      <w:r w:rsidR="005B6C71">
        <w:t>條</w:t>
      </w:r>
    </w:p>
    <w:p w14:paraId="5C590823" w14:textId="21BCF42B" w:rsidR="00042C8E"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經許可經營加氫站業務者應依有關法令辦妥營業登記，並應於取得加氫站經營許可後六個月內開始營業。但有正當理由未能於規定期限內開始營業者，得於期限屆滿前，向直轄市、縣（市）主管機關申請延展，延展期限每次不得逾六個月。</w:t>
      </w:r>
    </w:p>
    <w:p w14:paraId="7172BFEB" w14:textId="77777777" w:rsidR="005B6C71" w:rsidRDefault="00042C8E" w:rsidP="00042C8E">
      <w:pPr>
        <w:pStyle w:val="2"/>
      </w:pPr>
      <w:bookmarkStart w:id="20" w:name="a14"/>
      <w:bookmarkEnd w:id="20"/>
      <w:r>
        <w:t>第</w:t>
      </w:r>
      <w:r>
        <w:t>14</w:t>
      </w:r>
      <w:r w:rsidR="005B6C71">
        <w:t>條</w:t>
      </w:r>
    </w:p>
    <w:p w14:paraId="5F582E22" w14:textId="541EFD71" w:rsidR="005B6C71"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經許可經營加氫站業務者，應於一個月內，投保公共意外責任保險，保險期間屆滿時，應予續保</w:t>
      </w:r>
      <w:r>
        <w:t>。</w:t>
      </w:r>
    </w:p>
    <w:p w14:paraId="04A529F6" w14:textId="0F9D9736" w:rsidR="005B6C71" w:rsidRDefault="005B6C71" w:rsidP="00042C8E">
      <w:pPr>
        <w:ind w:left="142"/>
        <w:jc w:val="both"/>
      </w:pPr>
      <w:r w:rsidRPr="005B6C71">
        <w:rPr>
          <w:color w:val="404040" w:themeColor="text1" w:themeTint="BF"/>
          <w:sz w:val="18"/>
        </w:rPr>
        <w:t>﹝</w:t>
      </w:r>
      <w:r w:rsidRPr="005B6C71">
        <w:rPr>
          <w:color w:val="404040" w:themeColor="text1" w:themeTint="BF"/>
          <w:sz w:val="18"/>
        </w:rPr>
        <w:t>2</w:t>
      </w:r>
      <w:r w:rsidRPr="005B6C71">
        <w:rPr>
          <w:color w:val="404040" w:themeColor="text1" w:themeTint="BF"/>
          <w:sz w:val="18"/>
        </w:rPr>
        <w:t>﹞</w:t>
      </w:r>
      <w:r>
        <w:t>前項保險投保、續保或保險契約變更時，應於一個月內，將保險單影本送直轄市、縣（市）主管機關備查。</w:t>
      </w:r>
    </w:p>
    <w:p w14:paraId="53CF0EA3" w14:textId="4E1E9F8F" w:rsidR="00042C8E" w:rsidRDefault="005B6C71" w:rsidP="00042C8E">
      <w:pPr>
        <w:ind w:left="142"/>
        <w:jc w:val="both"/>
      </w:pPr>
      <w:r w:rsidRPr="005B6C71">
        <w:rPr>
          <w:color w:val="404040" w:themeColor="text1" w:themeTint="BF"/>
          <w:sz w:val="18"/>
        </w:rPr>
        <w:t>﹝</w:t>
      </w:r>
      <w:r w:rsidRPr="005B6C71">
        <w:rPr>
          <w:color w:val="404040" w:themeColor="text1" w:themeTint="BF"/>
          <w:sz w:val="18"/>
        </w:rPr>
        <w:t>3</w:t>
      </w:r>
      <w:r w:rsidRPr="005B6C71">
        <w:rPr>
          <w:color w:val="404040" w:themeColor="text1" w:themeTint="BF"/>
          <w:sz w:val="18"/>
        </w:rPr>
        <w:t>﹞</w:t>
      </w:r>
      <w:r w:rsidR="00042C8E">
        <w:t>第一項保險之最低保險金額如下：</w:t>
      </w:r>
    </w:p>
    <w:p w14:paraId="027B8343" w14:textId="77777777" w:rsidR="005B6C71" w:rsidRDefault="00042C8E" w:rsidP="00042C8E">
      <w:pPr>
        <w:ind w:left="142"/>
        <w:jc w:val="both"/>
      </w:pPr>
      <w:r>
        <w:t xml:space="preserve">　　一、每一個人身體傷亡：新臺幣四百萬元</w:t>
      </w:r>
      <w:r w:rsidR="005B6C71">
        <w:t>。</w:t>
      </w:r>
    </w:p>
    <w:p w14:paraId="59A932E1" w14:textId="02F92AB8" w:rsidR="005B6C71" w:rsidRDefault="005B6C71" w:rsidP="00042C8E">
      <w:pPr>
        <w:ind w:left="142"/>
        <w:jc w:val="both"/>
      </w:pPr>
      <w:r>
        <w:t xml:space="preserve">　　二、</w:t>
      </w:r>
      <w:r w:rsidR="00042C8E">
        <w:t>每一意外事故傷亡及財產損失：新臺幣一千兩百萬元</w:t>
      </w:r>
      <w:r>
        <w:t>。</w:t>
      </w:r>
    </w:p>
    <w:p w14:paraId="5886918E" w14:textId="1FD64B89" w:rsidR="00042C8E" w:rsidRDefault="005B6C71" w:rsidP="00042C8E">
      <w:pPr>
        <w:ind w:left="142"/>
        <w:jc w:val="both"/>
      </w:pPr>
      <w:r>
        <w:t xml:space="preserve">　　三、</w:t>
      </w:r>
      <w:r w:rsidR="00042C8E">
        <w:t>保險期間總保險金額：新臺幣二千四百萬元。</w:t>
      </w:r>
    </w:p>
    <w:p w14:paraId="7158AE56" w14:textId="77777777" w:rsidR="005B6C71" w:rsidRDefault="00042C8E" w:rsidP="00042C8E">
      <w:pPr>
        <w:pStyle w:val="2"/>
      </w:pPr>
      <w:bookmarkStart w:id="21" w:name="a15"/>
      <w:bookmarkEnd w:id="21"/>
      <w:r>
        <w:t>第</w:t>
      </w:r>
      <w:r>
        <w:t>15</w:t>
      </w:r>
      <w:r w:rsidR="005B6C71">
        <w:t>條</w:t>
      </w:r>
    </w:p>
    <w:p w14:paraId="64DF5CA2" w14:textId="21AD6101" w:rsidR="00042C8E"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加氫站開始營業後，業者應依自動檢查表實施下列自動檢查：</w:t>
      </w:r>
    </w:p>
    <w:p w14:paraId="104F07CC" w14:textId="77777777" w:rsidR="005B6C71" w:rsidRDefault="00042C8E" w:rsidP="00042C8E">
      <w:pPr>
        <w:ind w:left="142"/>
        <w:jc w:val="both"/>
      </w:pPr>
      <w:r>
        <w:t xml:space="preserve">　　一、每日自動檢查</w:t>
      </w:r>
      <w:r w:rsidR="005B6C71">
        <w:t>。</w:t>
      </w:r>
    </w:p>
    <w:p w14:paraId="5AFCE27F" w14:textId="6B0F92BC" w:rsidR="005B6C71" w:rsidRDefault="005B6C71" w:rsidP="00042C8E">
      <w:pPr>
        <w:ind w:left="142"/>
        <w:jc w:val="both"/>
      </w:pPr>
      <w:r>
        <w:t xml:space="preserve">　　二、</w:t>
      </w:r>
      <w:r w:rsidR="00042C8E">
        <w:t>一個月定期自動檢查</w:t>
      </w:r>
      <w:r>
        <w:t>。</w:t>
      </w:r>
    </w:p>
    <w:p w14:paraId="73765DA8" w14:textId="66FD6E7C" w:rsidR="005B6C71" w:rsidRDefault="005B6C71" w:rsidP="00042C8E">
      <w:pPr>
        <w:ind w:left="142"/>
        <w:jc w:val="both"/>
      </w:pPr>
      <w:r>
        <w:t xml:space="preserve">　　三、</w:t>
      </w:r>
      <w:r w:rsidR="00042C8E">
        <w:t>三個月定期自動檢查</w:t>
      </w:r>
      <w:r>
        <w:t>。</w:t>
      </w:r>
    </w:p>
    <w:p w14:paraId="21879E38" w14:textId="3446B57A" w:rsidR="005B6C71" w:rsidRDefault="005B6C71" w:rsidP="00042C8E">
      <w:pPr>
        <w:ind w:left="142"/>
        <w:jc w:val="both"/>
      </w:pPr>
      <w:r>
        <w:t xml:space="preserve">　　四、</w:t>
      </w:r>
      <w:r w:rsidR="00042C8E">
        <w:t>一年定期自動檢查</w:t>
      </w:r>
      <w:r>
        <w:t>。</w:t>
      </w:r>
    </w:p>
    <w:p w14:paraId="112C5CA0" w14:textId="27D78743" w:rsidR="00042C8E" w:rsidRDefault="005B6C71" w:rsidP="00042C8E">
      <w:pPr>
        <w:ind w:left="142"/>
        <w:jc w:val="both"/>
      </w:pPr>
      <w:r w:rsidRPr="005B6C71">
        <w:rPr>
          <w:color w:val="404040" w:themeColor="text1" w:themeTint="BF"/>
          <w:sz w:val="18"/>
        </w:rPr>
        <w:t>﹝</w:t>
      </w:r>
      <w:r w:rsidRPr="005B6C71">
        <w:rPr>
          <w:color w:val="404040" w:themeColor="text1" w:themeTint="BF"/>
          <w:sz w:val="18"/>
        </w:rPr>
        <w:t>2</w:t>
      </w:r>
      <w:r w:rsidRPr="005B6C71">
        <w:rPr>
          <w:color w:val="404040" w:themeColor="text1" w:themeTint="BF"/>
          <w:sz w:val="18"/>
        </w:rPr>
        <w:t>﹞</w:t>
      </w:r>
      <w:r w:rsidR="00042C8E">
        <w:t>前項自動檢查紀錄應保存三年以上。</w:t>
      </w:r>
    </w:p>
    <w:p w14:paraId="507DB200" w14:textId="77777777" w:rsidR="005B6C71" w:rsidRDefault="00042C8E" w:rsidP="00042C8E">
      <w:pPr>
        <w:pStyle w:val="2"/>
      </w:pPr>
      <w:bookmarkStart w:id="22" w:name="a16"/>
      <w:bookmarkEnd w:id="22"/>
      <w:r>
        <w:t>第</w:t>
      </w:r>
      <w:r>
        <w:t>16</w:t>
      </w:r>
      <w:r w:rsidR="005B6C71">
        <w:t>條</w:t>
      </w:r>
    </w:p>
    <w:p w14:paraId="1736759E" w14:textId="7596E69C" w:rsidR="005B6C71"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加氫站業者應於每年二月底前將依前條所實施一年定期自動檢查之紀錄表及報告送直轄市、縣（市）主管機關備查</w:t>
      </w:r>
      <w:r>
        <w:t>。</w:t>
      </w:r>
    </w:p>
    <w:p w14:paraId="4B7CFCBE" w14:textId="17A69B6F" w:rsidR="00042C8E" w:rsidRDefault="005B6C71" w:rsidP="00042C8E">
      <w:pPr>
        <w:ind w:left="142"/>
        <w:jc w:val="both"/>
      </w:pPr>
      <w:r w:rsidRPr="005B6C71">
        <w:rPr>
          <w:color w:val="404040" w:themeColor="text1" w:themeTint="BF"/>
          <w:sz w:val="18"/>
        </w:rPr>
        <w:t>﹝</w:t>
      </w:r>
      <w:r w:rsidRPr="005B6C71">
        <w:rPr>
          <w:color w:val="404040" w:themeColor="text1" w:themeTint="BF"/>
          <w:sz w:val="18"/>
        </w:rPr>
        <w:t>2</w:t>
      </w:r>
      <w:r w:rsidRPr="005B6C71">
        <w:rPr>
          <w:color w:val="404040" w:themeColor="text1" w:themeTint="BF"/>
          <w:sz w:val="18"/>
        </w:rPr>
        <w:t>﹞</w:t>
      </w:r>
      <w:r w:rsidR="00042C8E">
        <w:t>前項自動檢查項目，經直轄市、縣（市）主管機關依第</w:t>
      </w:r>
      <w:hyperlink w:anchor="a21" w:history="1">
        <w:r w:rsidR="00042C8E" w:rsidRPr="00506F9B">
          <w:rPr>
            <w:rStyle w:val="a3"/>
            <w:rFonts w:ascii="Times New Roman" w:hAnsi="Times New Roman"/>
          </w:rPr>
          <w:t>二十一</w:t>
        </w:r>
      </w:hyperlink>
      <w:r w:rsidR="00042C8E">
        <w:t>條規定查核有缺失並通知限期改善者，業者應</w:t>
      </w:r>
      <w:r w:rsidR="00042C8E">
        <w:lastRenderedPageBreak/>
        <w:t>於期限內改善。</w:t>
      </w:r>
    </w:p>
    <w:p w14:paraId="5B3429EB" w14:textId="77777777" w:rsidR="005B6C71" w:rsidRDefault="00042C8E" w:rsidP="00042C8E">
      <w:pPr>
        <w:pStyle w:val="2"/>
      </w:pPr>
      <w:bookmarkStart w:id="23" w:name="a17"/>
      <w:bookmarkEnd w:id="23"/>
      <w:r>
        <w:t>第</w:t>
      </w:r>
      <w:r>
        <w:t>17</w:t>
      </w:r>
      <w:r w:rsidR="005B6C71">
        <w:t>條</w:t>
      </w:r>
    </w:p>
    <w:p w14:paraId="2B8D4A52" w14:textId="2F1E83A1" w:rsidR="00042C8E"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加氫站業者所銷售之氫燃料應符合國家標準，其購買氫氣之證明文件應保存一年以上。</w:t>
      </w:r>
    </w:p>
    <w:p w14:paraId="29DA63B5" w14:textId="77777777" w:rsidR="005B6C71" w:rsidRDefault="00042C8E" w:rsidP="00042C8E">
      <w:pPr>
        <w:pStyle w:val="2"/>
      </w:pPr>
      <w:bookmarkStart w:id="24" w:name="a18"/>
      <w:bookmarkEnd w:id="24"/>
      <w:r>
        <w:t>第</w:t>
      </w:r>
      <w:r>
        <w:t>18</w:t>
      </w:r>
      <w:r w:rsidR="005B6C71">
        <w:t>條</w:t>
      </w:r>
    </w:p>
    <w:p w14:paraId="6221702A" w14:textId="71842100" w:rsidR="00042C8E"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加氫站業者應對員工及主管施以必要之教育訓練，相關教育訓練應遵循事項及內容，應依</w:t>
      </w:r>
      <w:hyperlink r:id="rId22" w:history="1">
        <w:r w:rsidR="00042C8E" w:rsidRPr="00434CC1">
          <w:rPr>
            <w:rStyle w:val="a3"/>
            <w:rFonts w:ascii="Times New Roman" w:hAnsi="Times New Roman"/>
          </w:rPr>
          <w:t>高壓氣體勞工安全規則</w:t>
        </w:r>
      </w:hyperlink>
      <w:r w:rsidR="00042C8E">
        <w:t>、</w:t>
      </w:r>
      <w:hyperlink r:id="rId23" w:history="1">
        <w:r w:rsidR="00042C8E" w:rsidRPr="00434CC1">
          <w:rPr>
            <w:rStyle w:val="a3"/>
            <w:rFonts w:ascii="Times New Roman" w:hAnsi="Times New Roman"/>
          </w:rPr>
          <w:t>職業安全衛生教育訓練規則</w:t>
        </w:r>
      </w:hyperlink>
      <w:r w:rsidR="00042C8E">
        <w:t>及消防等相關法令辦理。</w:t>
      </w:r>
    </w:p>
    <w:p w14:paraId="57B9FC83" w14:textId="77777777" w:rsidR="005B6C71" w:rsidRDefault="00042C8E" w:rsidP="00042C8E">
      <w:pPr>
        <w:pStyle w:val="2"/>
      </w:pPr>
      <w:bookmarkStart w:id="25" w:name="a19"/>
      <w:bookmarkEnd w:id="25"/>
      <w:r>
        <w:t>第</w:t>
      </w:r>
      <w:r>
        <w:t>19</w:t>
      </w:r>
      <w:r w:rsidR="005B6C71">
        <w:t>條</w:t>
      </w:r>
    </w:p>
    <w:p w14:paraId="2A03A2D1" w14:textId="1922FB0E" w:rsidR="005B6C71"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加氫站經營許可執照登記事項變更者，應於事項變更之日起三十日內，填具加氫站經營許可執照登記事項變更登記申請表，並檢附原經營許可執照及有關證件，向中央主管機關申請換發經營許可執照</w:t>
      </w:r>
      <w:r>
        <w:t>。</w:t>
      </w:r>
    </w:p>
    <w:p w14:paraId="1696192F" w14:textId="772BCDFF" w:rsidR="00042C8E" w:rsidRDefault="005B6C71" w:rsidP="00042C8E">
      <w:pPr>
        <w:ind w:left="142"/>
        <w:jc w:val="both"/>
      </w:pPr>
      <w:r w:rsidRPr="005B6C71">
        <w:rPr>
          <w:color w:val="404040" w:themeColor="text1" w:themeTint="BF"/>
          <w:sz w:val="18"/>
        </w:rPr>
        <w:t>﹝</w:t>
      </w:r>
      <w:r w:rsidRPr="005B6C71">
        <w:rPr>
          <w:color w:val="404040" w:themeColor="text1" w:themeTint="BF"/>
          <w:sz w:val="18"/>
        </w:rPr>
        <w:t>2</w:t>
      </w:r>
      <w:r w:rsidRPr="005B6C71">
        <w:rPr>
          <w:color w:val="404040" w:themeColor="text1" w:themeTint="BF"/>
          <w:sz w:val="18"/>
        </w:rPr>
        <w:t>﹞</w:t>
      </w:r>
      <w:r w:rsidR="00042C8E">
        <w:t>加氫站平面配置及營運設施變更者，應於變更前三十日，檢具相關資料向直轄市、縣（市）主管機關申請核准。</w:t>
      </w:r>
    </w:p>
    <w:p w14:paraId="1F59D4B1" w14:textId="77777777" w:rsidR="005B6C71" w:rsidRDefault="00042C8E" w:rsidP="00042C8E">
      <w:pPr>
        <w:pStyle w:val="2"/>
      </w:pPr>
      <w:bookmarkStart w:id="26" w:name="a20"/>
      <w:bookmarkEnd w:id="26"/>
      <w:r>
        <w:t>第</w:t>
      </w:r>
      <w:r>
        <w:t>20</w:t>
      </w:r>
      <w:r w:rsidR="005B6C71">
        <w:t>條</w:t>
      </w:r>
    </w:p>
    <w:p w14:paraId="01C1B407" w14:textId="729C906F" w:rsidR="005B6C71"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加氫站暫停營業一個月以上者，應於停業前或停業日起十五日內敘明事由送直轄市、縣（市）主管機關備查；復業時亦同</w:t>
      </w:r>
      <w:r>
        <w:t>。</w:t>
      </w:r>
    </w:p>
    <w:p w14:paraId="0DD3924A" w14:textId="5D5C204E" w:rsidR="005B6C71" w:rsidRDefault="005B6C71" w:rsidP="00042C8E">
      <w:pPr>
        <w:ind w:left="142"/>
        <w:jc w:val="both"/>
      </w:pPr>
      <w:r w:rsidRPr="005B6C71">
        <w:rPr>
          <w:color w:val="404040" w:themeColor="text1" w:themeTint="BF"/>
          <w:sz w:val="18"/>
        </w:rPr>
        <w:t>﹝</w:t>
      </w:r>
      <w:r w:rsidRPr="005B6C71">
        <w:rPr>
          <w:color w:val="404040" w:themeColor="text1" w:themeTint="BF"/>
          <w:sz w:val="18"/>
        </w:rPr>
        <w:t>2</w:t>
      </w:r>
      <w:r w:rsidRPr="005B6C71">
        <w:rPr>
          <w:color w:val="404040" w:themeColor="text1" w:themeTint="BF"/>
          <w:sz w:val="18"/>
        </w:rPr>
        <w:t>﹞</w:t>
      </w:r>
      <w:r>
        <w:t>前項暫停營業期限不得逾六個月。但有不可歸責於加氫站業者之事由者，得檢具有關證明文件，於期限屆滿前，向直轄市、縣（市）主管機關申請延展，延展期限每次不得逾六個月。</w:t>
      </w:r>
    </w:p>
    <w:p w14:paraId="1623739E" w14:textId="498E4516" w:rsidR="00042C8E" w:rsidRDefault="005B6C71" w:rsidP="00042C8E">
      <w:pPr>
        <w:ind w:left="142"/>
        <w:jc w:val="both"/>
      </w:pPr>
      <w:r w:rsidRPr="005B6C71">
        <w:rPr>
          <w:color w:val="404040" w:themeColor="text1" w:themeTint="BF"/>
          <w:sz w:val="18"/>
        </w:rPr>
        <w:t>﹝</w:t>
      </w:r>
      <w:r w:rsidRPr="005B6C71">
        <w:rPr>
          <w:color w:val="404040" w:themeColor="text1" w:themeTint="BF"/>
          <w:sz w:val="18"/>
        </w:rPr>
        <w:t>3</w:t>
      </w:r>
      <w:r w:rsidRPr="005B6C71">
        <w:rPr>
          <w:color w:val="404040" w:themeColor="text1" w:themeTint="BF"/>
          <w:sz w:val="18"/>
        </w:rPr>
        <w:t>﹞</w:t>
      </w:r>
      <w:r w:rsidR="00042C8E">
        <w:t>加氫站暫停營業期間，加氫站業者就其儲氫槽內之存餘氫氣應妥善處理，並防止洩漏及意外事故發生。</w:t>
      </w:r>
    </w:p>
    <w:p w14:paraId="74B0E427" w14:textId="77777777" w:rsidR="005B6C71" w:rsidRDefault="00042C8E" w:rsidP="00042C8E">
      <w:pPr>
        <w:pStyle w:val="2"/>
      </w:pPr>
      <w:bookmarkStart w:id="27" w:name="a21"/>
      <w:bookmarkEnd w:id="27"/>
      <w:r>
        <w:t>第</w:t>
      </w:r>
      <w:r>
        <w:t>21</w:t>
      </w:r>
      <w:r w:rsidR="005B6C71">
        <w:t>條</w:t>
      </w:r>
    </w:p>
    <w:p w14:paraId="72161AB8" w14:textId="1B978AC2" w:rsidR="005B6C71"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主管機關得隨時派員或會同中央主管機關委託機構，必要時並得邀請相關單位，查核加氫站設備情形、營運情形、緊急處理措施及查驗供氣品質，業者不得妨礙、拒絕或規避檢查</w:t>
      </w:r>
      <w:r>
        <w:t>。</w:t>
      </w:r>
    </w:p>
    <w:p w14:paraId="397B4160" w14:textId="30142F4F" w:rsidR="00042C8E" w:rsidRDefault="005B6C71" w:rsidP="00042C8E">
      <w:pPr>
        <w:ind w:left="142"/>
        <w:jc w:val="both"/>
      </w:pPr>
      <w:r w:rsidRPr="005B6C71">
        <w:rPr>
          <w:color w:val="404040" w:themeColor="text1" w:themeTint="BF"/>
          <w:sz w:val="18"/>
        </w:rPr>
        <w:t>﹝</w:t>
      </w:r>
      <w:r w:rsidRPr="005B6C71">
        <w:rPr>
          <w:color w:val="404040" w:themeColor="text1" w:themeTint="BF"/>
          <w:sz w:val="18"/>
        </w:rPr>
        <w:t>2</w:t>
      </w:r>
      <w:r w:rsidRPr="005B6C71">
        <w:rPr>
          <w:color w:val="404040" w:themeColor="text1" w:themeTint="BF"/>
          <w:sz w:val="18"/>
        </w:rPr>
        <w:t>﹞</w:t>
      </w:r>
      <w:r w:rsidR="00042C8E">
        <w:t>執行前項查核或查驗之人員，應出示有關執行職務之證明文件。</w:t>
      </w:r>
    </w:p>
    <w:p w14:paraId="7C29784D" w14:textId="77777777" w:rsidR="005B6C71" w:rsidRDefault="00042C8E" w:rsidP="00042C8E">
      <w:pPr>
        <w:pStyle w:val="2"/>
      </w:pPr>
      <w:bookmarkStart w:id="28" w:name="a22"/>
      <w:bookmarkEnd w:id="28"/>
      <w:r>
        <w:t>第</w:t>
      </w:r>
      <w:r>
        <w:t>22</w:t>
      </w:r>
      <w:r w:rsidR="005B6C71">
        <w:t>條</w:t>
      </w:r>
    </w:p>
    <w:p w14:paraId="1B9EB6D9" w14:textId="55271268" w:rsidR="00042C8E"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加氫站業者於加氫站終止營業時，應於十五日內，向直轄市、縣（市）主管機關繳銷加氫站經營許可執照；其不繳銷者，由直轄市、縣（市）主管機關陳報中央主管機關廢止其經營許可及註銷其經營許可執照。加氫站業者就其儲氫槽內之存餘氫氣應妥善處理；廢棄氫氣依有關法令之規定處理。</w:t>
      </w:r>
    </w:p>
    <w:p w14:paraId="7FE7D373" w14:textId="366C7934" w:rsidR="006854C7" w:rsidRDefault="000B4EA2" w:rsidP="00042C8E">
      <w:pPr>
        <w:ind w:left="142"/>
        <w:jc w:val="both"/>
      </w:pPr>
      <w:r>
        <w:rPr>
          <w:rFonts w:ascii="Arial Unicode MS" w:hAnsi="Arial Unicode MS"/>
          <w:color w:val="808000"/>
          <w:sz w:val="18"/>
        </w:rPr>
        <w:t xml:space="preserve">　　　　　　　　　　　　　　　　　　　　　　　　　　　　　　　　　　　　　　　　　　　　　　　　　</w:t>
      </w:r>
      <w:hyperlink w:anchor="a章節索引" w:history="1">
        <w:r w:rsidRPr="003555EC">
          <w:rPr>
            <w:rStyle w:val="a3"/>
            <w:rFonts w:ascii="Arial Unicode MS" w:hAnsi="Arial Unicode MS" w:hint="eastAsia"/>
            <w:sz w:val="18"/>
          </w:rPr>
          <w:t>回索引</w:t>
        </w:r>
      </w:hyperlink>
      <w:r>
        <w:rPr>
          <w:rFonts w:ascii="Arial Unicode MS" w:hAnsi="Arial Unicode MS" w:hint="eastAsia"/>
          <w:color w:val="808000"/>
          <w:sz w:val="18"/>
        </w:rPr>
        <w:t>〉〉</w:t>
      </w:r>
    </w:p>
    <w:p w14:paraId="32D96EBC" w14:textId="77777777" w:rsidR="00042C8E" w:rsidRDefault="00042C8E" w:rsidP="006854C7">
      <w:pPr>
        <w:pStyle w:val="1"/>
      </w:pPr>
      <w:bookmarkStart w:id="29" w:name="_第六章__附則"/>
      <w:bookmarkEnd w:id="29"/>
      <w:r>
        <w:t>第六章　　附則</w:t>
      </w:r>
    </w:p>
    <w:p w14:paraId="6567B09B" w14:textId="77777777" w:rsidR="005B6C71" w:rsidRDefault="00042C8E" w:rsidP="00042C8E">
      <w:pPr>
        <w:pStyle w:val="2"/>
      </w:pPr>
      <w:bookmarkStart w:id="30" w:name="a23"/>
      <w:bookmarkEnd w:id="30"/>
      <w:r>
        <w:t>第</w:t>
      </w:r>
      <w:r>
        <w:t>23</w:t>
      </w:r>
      <w:r w:rsidR="005B6C71">
        <w:t>條</w:t>
      </w:r>
    </w:p>
    <w:p w14:paraId="667D034A" w14:textId="486C319E" w:rsidR="005B6C71"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高速公路管理機關得於高速公路服務區、休息站或高速公路路權範圍內設置加氫站，其用地及申請程序除本辦法另有規定外，不受</w:t>
      </w:r>
      <w:hyperlink w:anchor="_第二章__用地" w:history="1">
        <w:r w:rsidR="00042C8E" w:rsidRPr="00506F9B">
          <w:rPr>
            <w:rStyle w:val="a3"/>
            <w:rFonts w:ascii="Times New Roman" w:hAnsi="Times New Roman"/>
          </w:rPr>
          <w:t>第二章</w:t>
        </w:r>
      </w:hyperlink>
      <w:r w:rsidR="00042C8E">
        <w:t>及</w:t>
      </w:r>
      <w:hyperlink w:anchor="_第四章__申請程序" w:history="1">
        <w:r w:rsidR="00042C8E" w:rsidRPr="00506F9B">
          <w:rPr>
            <w:rStyle w:val="a3"/>
            <w:rFonts w:ascii="Times New Roman" w:hAnsi="Times New Roman"/>
          </w:rPr>
          <w:t>第四章</w:t>
        </w:r>
      </w:hyperlink>
      <w:r w:rsidR="00042C8E">
        <w:t>之限制</w:t>
      </w:r>
      <w:r>
        <w:t>。</w:t>
      </w:r>
    </w:p>
    <w:p w14:paraId="6C24EA25" w14:textId="532CF4EC" w:rsidR="005B6C71" w:rsidRDefault="005B6C71" w:rsidP="00042C8E">
      <w:pPr>
        <w:ind w:left="142"/>
        <w:jc w:val="both"/>
      </w:pPr>
      <w:r w:rsidRPr="005B6C71">
        <w:rPr>
          <w:color w:val="404040" w:themeColor="text1" w:themeTint="BF"/>
          <w:sz w:val="18"/>
        </w:rPr>
        <w:t>﹝</w:t>
      </w:r>
      <w:r w:rsidRPr="005B6C71">
        <w:rPr>
          <w:color w:val="404040" w:themeColor="text1" w:themeTint="BF"/>
          <w:sz w:val="18"/>
        </w:rPr>
        <w:t>2</w:t>
      </w:r>
      <w:r w:rsidRPr="005B6C71">
        <w:rPr>
          <w:color w:val="404040" w:themeColor="text1" w:themeTint="BF"/>
          <w:sz w:val="18"/>
        </w:rPr>
        <w:t>﹞</w:t>
      </w:r>
      <w:r>
        <w:t>申請經營高速公路加氫站者，應檢附高速公路管理機關出具之證明文件及第</w:t>
      </w:r>
      <w:hyperlink w:anchor="a12" w:history="1">
        <w:r w:rsidRPr="00506F9B">
          <w:rPr>
            <w:rStyle w:val="a3"/>
            <w:rFonts w:ascii="Times New Roman" w:hAnsi="Times New Roman"/>
          </w:rPr>
          <w:t>十二</w:t>
        </w:r>
      </w:hyperlink>
      <w:r>
        <w:t>條第一項所列之文件，送直轄市、縣（市）主管機關審查，直轄市、縣（市）主管機關應依加氫站設施查驗表檢查加氫站，審查合格後，報請中央主管機關核發經營許可及執照。</w:t>
      </w:r>
    </w:p>
    <w:p w14:paraId="606487DB" w14:textId="26C0C922" w:rsidR="005B6C71" w:rsidRDefault="005B6C71" w:rsidP="00042C8E">
      <w:pPr>
        <w:ind w:left="142"/>
        <w:jc w:val="both"/>
      </w:pPr>
      <w:r w:rsidRPr="005B6C71">
        <w:rPr>
          <w:color w:val="404040" w:themeColor="text1" w:themeTint="BF"/>
          <w:sz w:val="18"/>
        </w:rPr>
        <w:t>﹝</w:t>
      </w:r>
      <w:r w:rsidRPr="005B6C71">
        <w:rPr>
          <w:color w:val="404040" w:themeColor="text1" w:themeTint="BF"/>
          <w:sz w:val="18"/>
        </w:rPr>
        <w:t>3</w:t>
      </w:r>
      <w:r w:rsidRPr="005B6C71">
        <w:rPr>
          <w:color w:val="404040" w:themeColor="text1" w:themeTint="BF"/>
          <w:sz w:val="18"/>
        </w:rPr>
        <w:t>﹞</w:t>
      </w:r>
      <w:r>
        <w:t>前項加氫站經營許可執照登記事項之變更，應於變更之日起三十日內，由加氫站業者檢具高速公路管理機關出具之證明文件，向中央主管機關申請換發經營許可執照，不適用第</w:t>
      </w:r>
      <w:hyperlink w:anchor="a19" w:history="1">
        <w:r w:rsidRPr="00506F9B">
          <w:rPr>
            <w:rStyle w:val="a3"/>
            <w:rFonts w:ascii="Times New Roman" w:hAnsi="Times New Roman"/>
          </w:rPr>
          <w:t>十九</w:t>
        </w:r>
      </w:hyperlink>
      <w:r>
        <w:t>條第一項之規定。</w:t>
      </w:r>
    </w:p>
    <w:p w14:paraId="14CD7C43" w14:textId="5581E739" w:rsidR="00042C8E" w:rsidRDefault="005B6C71" w:rsidP="00042C8E">
      <w:pPr>
        <w:ind w:left="142"/>
        <w:jc w:val="both"/>
      </w:pPr>
      <w:r w:rsidRPr="005B6C71">
        <w:rPr>
          <w:color w:val="404040" w:themeColor="text1" w:themeTint="BF"/>
          <w:sz w:val="18"/>
        </w:rPr>
        <w:t>﹝</w:t>
      </w:r>
      <w:r w:rsidRPr="005B6C71">
        <w:rPr>
          <w:color w:val="404040" w:themeColor="text1" w:themeTint="BF"/>
          <w:sz w:val="18"/>
        </w:rPr>
        <w:t>4</w:t>
      </w:r>
      <w:r w:rsidRPr="005B6C71">
        <w:rPr>
          <w:color w:val="404040" w:themeColor="text1" w:themeTint="BF"/>
          <w:sz w:val="18"/>
        </w:rPr>
        <w:t>﹞</w:t>
      </w:r>
      <w:r w:rsidR="00042C8E">
        <w:t>中央主管機關得依高速公路管理機關通知，廢止加氫站經營許可。</w:t>
      </w:r>
    </w:p>
    <w:p w14:paraId="0AB8D359" w14:textId="77777777" w:rsidR="005B6C71" w:rsidRDefault="00042C8E" w:rsidP="00042C8E">
      <w:pPr>
        <w:pStyle w:val="2"/>
      </w:pPr>
      <w:bookmarkStart w:id="31" w:name="a24"/>
      <w:bookmarkEnd w:id="31"/>
      <w:r>
        <w:lastRenderedPageBreak/>
        <w:t>第</w:t>
      </w:r>
      <w:r>
        <w:t>24</w:t>
      </w:r>
      <w:r w:rsidR="005B6C71">
        <w:t>條</w:t>
      </w:r>
    </w:p>
    <w:p w14:paraId="5462B4FD" w14:textId="02260116" w:rsidR="005B6C71"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違反本辦法應具設備（施）或經營管理之規定者，主管機關得命其限期改善；屆期未改善者，中央主管機關得廢止其經營許可</w:t>
      </w:r>
      <w:r>
        <w:t>。</w:t>
      </w:r>
    </w:p>
    <w:p w14:paraId="5FAFD07C" w14:textId="4EFA26A5" w:rsidR="00042C8E" w:rsidRDefault="005B6C71" w:rsidP="00042C8E">
      <w:pPr>
        <w:ind w:left="142"/>
        <w:jc w:val="both"/>
      </w:pPr>
      <w:r w:rsidRPr="005B6C71">
        <w:rPr>
          <w:color w:val="404040" w:themeColor="text1" w:themeTint="BF"/>
          <w:sz w:val="18"/>
        </w:rPr>
        <w:t>﹝</w:t>
      </w:r>
      <w:r w:rsidRPr="005B6C71">
        <w:rPr>
          <w:color w:val="404040" w:themeColor="text1" w:themeTint="BF"/>
          <w:sz w:val="18"/>
        </w:rPr>
        <w:t>2</w:t>
      </w:r>
      <w:r w:rsidRPr="005B6C71">
        <w:rPr>
          <w:color w:val="404040" w:themeColor="text1" w:themeTint="BF"/>
          <w:sz w:val="18"/>
        </w:rPr>
        <w:t>﹞</w:t>
      </w:r>
      <w:r w:rsidR="00042C8E">
        <w:t>中央主管機關依前條第四項或前項規定廢止經營許可，並應通知該業者繳銷執照；未繳銷者，由中央主管機關逕為註銷。</w:t>
      </w:r>
    </w:p>
    <w:p w14:paraId="072F568F" w14:textId="77777777" w:rsidR="005B6C71" w:rsidRDefault="00042C8E" w:rsidP="00042C8E">
      <w:pPr>
        <w:pStyle w:val="2"/>
      </w:pPr>
      <w:bookmarkStart w:id="32" w:name="a25"/>
      <w:bookmarkEnd w:id="32"/>
      <w:r>
        <w:t>第</w:t>
      </w:r>
      <w:r>
        <w:t>25</w:t>
      </w:r>
      <w:r w:rsidR="005B6C71">
        <w:t>條</w:t>
      </w:r>
    </w:p>
    <w:p w14:paraId="40A45850" w14:textId="27DE25E1" w:rsidR="00042C8E" w:rsidRDefault="005B6C71" w:rsidP="00042C8E">
      <w:pPr>
        <w:ind w:left="142"/>
        <w:jc w:val="both"/>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本辦法</w:t>
      </w:r>
      <w:hyperlink w:anchor="a10" w:history="1">
        <w:r w:rsidR="00042C8E" w:rsidRPr="000A5219">
          <w:rPr>
            <w:rStyle w:val="a3"/>
            <w:rFonts w:ascii="Times New Roman" w:hAnsi="Times New Roman"/>
          </w:rPr>
          <w:t>第十條</w:t>
        </w:r>
      </w:hyperlink>
      <w:r w:rsidR="00042C8E">
        <w:t>第一項第一款及第二款、第</w:t>
      </w:r>
      <w:hyperlink w:anchor="a12" w:history="1">
        <w:r w:rsidR="00042C8E" w:rsidRPr="000A5219">
          <w:rPr>
            <w:rStyle w:val="a3"/>
            <w:rFonts w:ascii="Times New Roman" w:hAnsi="Times New Roman"/>
          </w:rPr>
          <w:t>十二</w:t>
        </w:r>
      </w:hyperlink>
      <w:r w:rsidR="00042C8E">
        <w:t>條第二項、第</w:t>
      </w:r>
      <w:hyperlink w:anchor="a15" w:history="1">
        <w:r w:rsidR="00042C8E" w:rsidRPr="00592939">
          <w:rPr>
            <w:rStyle w:val="a3"/>
            <w:rFonts w:ascii="Times New Roman" w:hAnsi="Times New Roman"/>
          </w:rPr>
          <w:t>十五</w:t>
        </w:r>
      </w:hyperlink>
      <w:r w:rsidR="00042C8E">
        <w:t>條第一項、第</w:t>
      </w:r>
      <w:hyperlink w:anchor="a19" w:history="1">
        <w:r w:rsidR="00042C8E" w:rsidRPr="000A5219">
          <w:rPr>
            <w:rStyle w:val="a3"/>
            <w:rFonts w:ascii="Times New Roman" w:hAnsi="Times New Roman"/>
          </w:rPr>
          <w:t>十九</w:t>
        </w:r>
      </w:hyperlink>
      <w:r w:rsidR="00042C8E">
        <w:t>條第一項、第</w:t>
      </w:r>
      <w:hyperlink w:anchor="a23" w:history="1">
        <w:r w:rsidR="00042C8E" w:rsidRPr="000A5219">
          <w:rPr>
            <w:rStyle w:val="a3"/>
            <w:rFonts w:ascii="Times New Roman" w:hAnsi="Times New Roman"/>
          </w:rPr>
          <w:t>二十三</w:t>
        </w:r>
      </w:hyperlink>
      <w:r w:rsidR="00042C8E">
        <w:t>條第二項所定之書表及證照格式，另由中央主管機關公告之。</w:t>
      </w:r>
    </w:p>
    <w:p w14:paraId="478F019F" w14:textId="77777777" w:rsidR="005B6C71" w:rsidRDefault="00042C8E" w:rsidP="00042C8E">
      <w:pPr>
        <w:pStyle w:val="2"/>
      </w:pPr>
      <w:bookmarkStart w:id="33" w:name="a26"/>
      <w:bookmarkEnd w:id="33"/>
      <w:r w:rsidRPr="00042C8E">
        <w:t>第</w:t>
      </w:r>
      <w:r w:rsidRPr="00042C8E">
        <w:t>26</w:t>
      </w:r>
      <w:r w:rsidR="005B6C71">
        <w:t>條</w:t>
      </w:r>
    </w:p>
    <w:p w14:paraId="14B5B087" w14:textId="16266F04" w:rsidR="006E49D6" w:rsidRDefault="005B6C71" w:rsidP="00042C8E">
      <w:pPr>
        <w:ind w:leftChars="75" w:left="150"/>
        <w:jc w:val="both"/>
        <w:rPr>
          <w:rFonts w:ascii="Arial Unicode MS" w:hAnsi="Arial Unicode MS"/>
        </w:rPr>
      </w:pPr>
      <w:r w:rsidRPr="005B6C71">
        <w:rPr>
          <w:color w:val="404040" w:themeColor="text1" w:themeTint="BF"/>
          <w:sz w:val="18"/>
        </w:rPr>
        <w:t>﹝</w:t>
      </w:r>
      <w:r w:rsidRPr="005B6C71">
        <w:rPr>
          <w:color w:val="404040" w:themeColor="text1" w:themeTint="BF"/>
          <w:sz w:val="18"/>
        </w:rPr>
        <w:t>1</w:t>
      </w:r>
      <w:r w:rsidRPr="005B6C71">
        <w:rPr>
          <w:color w:val="404040" w:themeColor="text1" w:themeTint="BF"/>
          <w:sz w:val="18"/>
        </w:rPr>
        <w:t>﹞</w:t>
      </w:r>
      <w:r w:rsidR="00042C8E">
        <w:t>本辦法自發布日施行。</w:t>
      </w:r>
    </w:p>
    <w:p w14:paraId="72979746" w14:textId="77777777" w:rsidR="00042C8E" w:rsidRPr="001C7001" w:rsidRDefault="00042C8E" w:rsidP="006E49D6">
      <w:pPr>
        <w:ind w:leftChars="75" w:left="150"/>
        <w:jc w:val="both"/>
        <w:rPr>
          <w:rFonts w:ascii="Arial Unicode MS" w:hAnsi="Arial Unicode MS"/>
        </w:rPr>
      </w:pPr>
    </w:p>
    <w:p w14:paraId="02055BAF" w14:textId="77777777" w:rsidR="006E49D6" w:rsidRPr="00765234" w:rsidRDefault="006E49D6" w:rsidP="006E49D6">
      <w:pPr>
        <w:ind w:leftChars="75" w:left="150" w:firstLineChars="200" w:firstLine="400"/>
        <w:jc w:val="both"/>
        <w:rPr>
          <w:rFonts w:ascii="Arial Unicode MS" w:hAnsi="Arial Unicode MS"/>
        </w:rPr>
      </w:pPr>
    </w:p>
    <w:p w14:paraId="229AF84F" w14:textId="77777777" w:rsidR="006E49D6" w:rsidRPr="00C1655B" w:rsidRDefault="006E49D6" w:rsidP="006E49D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E34A25D" w14:textId="133F649B" w:rsidR="006E49D6" w:rsidRPr="00A51BA6" w:rsidRDefault="006E49D6" w:rsidP="006E49D6">
      <w:pPr>
        <w:ind w:leftChars="71" w:left="142"/>
        <w:jc w:val="both"/>
        <w:rPr>
          <w:rFonts w:ascii="Arial Unicode MS" w:hAnsi="Arial Unicode MS"/>
          <w:color w:val="808080"/>
          <w:sz w:val="18"/>
          <w:szCs w:val="20"/>
        </w:rPr>
      </w:pPr>
      <w:r w:rsidRPr="003D460F">
        <w:rPr>
          <w:rFonts w:hint="eastAsia"/>
          <w:color w:val="5F5F5F"/>
          <w:sz w:val="18"/>
          <w:szCs w:val="18"/>
        </w:rPr>
        <w:t>【編註】</w:t>
      </w:r>
      <w:r w:rsidR="00D03876">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4"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6E49D6" w:rsidRPr="00A51BA6">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3A99A" w14:textId="77777777" w:rsidR="00F36C4D" w:rsidRDefault="00F36C4D">
      <w:r>
        <w:separator/>
      </w:r>
    </w:p>
  </w:endnote>
  <w:endnote w:type="continuationSeparator" w:id="0">
    <w:p w14:paraId="294DA4F7" w14:textId="77777777" w:rsidR="00F36C4D" w:rsidRDefault="00F3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4F4BF"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3D7CC188" w14:textId="68DB088C"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6A79A4" w:rsidRPr="006A79A4">
      <w:rPr>
        <w:rFonts w:ascii="Arial Unicode MS" w:hAnsi="Arial Unicode MS" w:hint="eastAsia"/>
        <w:sz w:val="18"/>
      </w:rPr>
      <w:t>加氫站銷售氫燃料經營許可管理辦法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B46B2" w14:textId="77777777" w:rsidR="00F36C4D" w:rsidRDefault="00F36C4D">
      <w:r>
        <w:separator/>
      </w:r>
    </w:p>
  </w:footnote>
  <w:footnote w:type="continuationSeparator" w:id="0">
    <w:p w14:paraId="149F8819" w14:textId="77777777" w:rsidR="00F36C4D" w:rsidRDefault="00F36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01880"/>
    <w:rsid w:val="00005D9A"/>
    <w:rsid w:val="000142DD"/>
    <w:rsid w:val="00041D68"/>
    <w:rsid w:val="00042C8E"/>
    <w:rsid w:val="000509F5"/>
    <w:rsid w:val="00053EB3"/>
    <w:rsid w:val="00075E1C"/>
    <w:rsid w:val="0009406C"/>
    <w:rsid w:val="000A5219"/>
    <w:rsid w:val="000A5999"/>
    <w:rsid w:val="000B4EA2"/>
    <w:rsid w:val="000E00FA"/>
    <w:rsid w:val="00104FBB"/>
    <w:rsid w:val="00134466"/>
    <w:rsid w:val="001605C6"/>
    <w:rsid w:val="00187602"/>
    <w:rsid w:val="001A426A"/>
    <w:rsid w:val="001C7001"/>
    <w:rsid w:val="001D50AD"/>
    <w:rsid w:val="001E23A9"/>
    <w:rsid w:val="00206429"/>
    <w:rsid w:val="002117C0"/>
    <w:rsid w:val="00250CFD"/>
    <w:rsid w:val="00254FCB"/>
    <w:rsid w:val="00277BB9"/>
    <w:rsid w:val="002844B5"/>
    <w:rsid w:val="0028452A"/>
    <w:rsid w:val="002A5208"/>
    <w:rsid w:val="002A6178"/>
    <w:rsid w:val="002E24E1"/>
    <w:rsid w:val="002F7544"/>
    <w:rsid w:val="00301DD2"/>
    <w:rsid w:val="00306BFD"/>
    <w:rsid w:val="00330912"/>
    <w:rsid w:val="00341D90"/>
    <w:rsid w:val="0034729B"/>
    <w:rsid w:val="003565A8"/>
    <w:rsid w:val="00372655"/>
    <w:rsid w:val="00376F50"/>
    <w:rsid w:val="00377189"/>
    <w:rsid w:val="003A07E8"/>
    <w:rsid w:val="003A1CEA"/>
    <w:rsid w:val="003A7CC8"/>
    <w:rsid w:val="0043189A"/>
    <w:rsid w:val="00434CC1"/>
    <w:rsid w:val="00444725"/>
    <w:rsid w:val="00451727"/>
    <w:rsid w:val="0045425A"/>
    <w:rsid w:val="00464EE7"/>
    <w:rsid w:val="004A6E50"/>
    <w:rsid w:val="004B0859"/>
    <w:rsid w:val="004D0FA1"/>
    <w:rsid w:val="004E2FEA"/>
    <w:rsid w:val="004E6452"/>
    <w:rsid w:val="004F1825"/>
    <w:rsid w:val="004F7BAA"/>
    <w:rsid w:val="00506F9B"/>
    <w:rsid w:val="00520F8A"/>
    <w:rsid w:val="0056107E"/>
    <w:rsid w:val="00564C7F"/>
    <w:rsid w:val="00592939"/>
    <w:rsid w:val="005B6C71"/>
    <w:rsid w:val="005C2D7D"/>
    <w:rsid w:val="005C483E"/>
    <w:rsid w:val="005D2C95"/>
    <w:rsid w:val="005D6F38"/>
    <w:rsid w:val="005E0DDB"/>
    <w:rsid w:val="005E12A5"/>
    <w:rsid w:val="005E7E79"/>
    <w:rsid w:val="00613FB8"/>
    <w:rsid w:val="00614716"/>
    <w:rsid w:val="00616222"/>
    <w:rsid w:val="006312B1"/>
    <w:rsid w:val="00654586"/>
    <w:rsid w:val="0067282D"/>
    <w:rsid w:val="00673844"/>
    <w:rsid w:val="006854C7"/>
    <w:rsid w:val="006A5AD5"/>
    <w:rsid w:val="006A79A4"/>
    <w:rsid w:val="006B139E"/>
    <w:rsid w:val="006C53DB"/>
    <w:rsid w:val="006E4464"/>
    <w:rsid w:val="006E49D6"/>
    <w:rsid w:val="006E6E00"/>
    <w:rsid w:val="006E7FE9"/>
    <w:rsid w:val="00701D18"/>
    <w:rsid w:val="00712B5C"/>
    <w:rsid w:val="0072241A"/>
    <w:rsid w:val="00732E57"/>
    <w:rsid w:val="0074183A"/>
    <w:rsid w:val="00765234"/>
    <w:rsid w:val="00765E4E"/>
    <w:rsid w:val="007A2583"/>
    <w:rsid w:val="007B59EF"/>
    <w:rsid w:val="007C3950"/>
    <w:rsid w:val="007D1CB6"/>
    <w:rsid w:val="007D5904"/>
    <w:rsid w:val="007F4C46"/>
    <w:rsid w:val="008013F3"/>
    <w:rsid w:val="008117F1"/>
    <w:rsid w:val="00816028"/>
    <w:rsid w:val="00816704"/>
    <w:rsid w:val="00831AE4"/>
    <w:rsid w:val="00857E9D"/>
    <w:rsid w:val="0088014C"/>
    <w:rsid w:val="00894B45"/>
    <w:rsid w:val="008B621F"/>
    <w:rsid w:val="00900A10"/>
    <w:rsid w:val="00907274"/>
    <w:rsid w:val="00921698"/>
    <w:rsid w:val="00967AED"/>
    <w:rsid w:val="00997067"/>
    <w:rsid w:val="009C76D2"/>
    <w:rsid w:val="00A05A00"/>
    <w:rsid w:val="00A6506B"/>
    <w:rsid w:val="00A947B6"/>
    <w:rsid w:val="00AB5B7B"/>
    <w:rsid w:val="00AB72F0"/>
    <w:rsid w:val="00AC37D9"/>
    <w:rsid w:val="00AE1199"/>
    <w:rsid w:val="00B045DE"/>
    <w:rsid w:val="00B136C8"/>
    <w:rsid w:val="00B14DE7"/>
    <w:rsid w:val="00B9339A"/>
    <w:rsid w:val="00BB5F81"/>
    <w:rsid w:val="00BD34CC"/>
    <w:rsid w:val="00BE25FF"/>
    <w:rsid w:val="00BF4907"/>
    <w:rsid w:val="00BF5191"/>
    <w:rsid w:val="00C10BFF"/>
    <w:rsid w:val="00C348DE"/>
    <w:rsid w:val="00C822AE"/>
    <w:rsid w:val="00C8742D"/>
    <w:rsid w:val="00CA6DDB"/>
    <w:rsid w:val="00D03876"/>
    <w:rsid w:val="00D05BD0"/>
    <w:rsid w:val="00D079B2"/>
    <w:rsid w:val="00D26DE0"/>
    <w:rsid w:val="00D73296"/>
    <w:rsid w:val="00DA3CD7"/>
    <w:rsid w:val="00DC7696"/>
    <w:rsid w:val="00DE5DA3"/>
    <w:rsid w:val="00DE6B3B"/>
    <w:rsid w:val="00E205E8"/>
    <w:rsid w:val="00E21071"/>
    <w:rsid w:val="00E24D45"/>
    <w:rsid w:val="00E47708"/>
    <w:rsid w:val="00E7256D"/>
    <w:rsid w:val="00E85BBB"/>
    <w:rsid w:val="00EB27D6"/>
    <w:rsid w:val="00EB61D2"/>
    <w:rsid w:val="00EC6E54"/>
    <w:rsid w:val="00EC7AEC"/>
    <w:rsid w:val="00EE484E"/>
    <w:rsid w:val="00EF3193"/>
    <w:rsid w:val="00F203C4"/>
    <w:rsid w:val="00F36C4D"/>
    <w:rsid w:val="00F4475B"/>
    <w:rsid w:val="00F67C65"/>
    <w:rsid w:val="00F94247"/>
    <w:rsid w:val="00FA59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38F98"/>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uiPriority w:val="9"/>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042C8E"/>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042C8E"/>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042C8E"/>
    <w:rPr>
      <w:color w:val="605E5C"/>
      <w:shd w:val="clear" w:color="auto" w:fill="E1DFDD"/>
    </w:rPr>
  </w:style>
  <w:style w:type="character" w:customStyle="1" w:styleId="10">
    <w:name w:val="標題 1 字元"/>
    <w:basedOn w:val="a0"/>
    <w:link w:val="1"/>
    <w:uiPriority w:val="9"/>
    <w:rsid w:val="00042C8E"/>
    <w:rPr>
      <w:rFonts w:ascii="Arial" w:hAnsi="Arial"/>
      <w:b/>
      <w:bCs/>
      <w:color w:val="000080"/>
      <w:kern w:val="52"/>
      <w:szCs w:val="52"/>
    </w:rPr>
  </w:style>
  <w:style w:type="paragraph" w:styleId="ad">
    <w:name w:val="List Paragraph"/>
    <w:basedOn w:val="a"/>
    <w:uiPriority w:val="34"/>
    <w:qFormat/>
    <w:rsid w:val="006854C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977606645">
      <w:bodyDiv w:val="1"/>
      <w:marLeft w:val="0"/>
      <w:marRight w:val="0"/>
      <w:marTop w:val="0"/>
      <w:marBottom w:val="0"/>
      <w:divBdr>
        <w:top w:val="none" w:sz="0" w:space="0" w:color="auto"/>
        <w:left w:val="none" w:sz="0" w:space="0" w:color="auto"/>
        <w:bottom w:val="none" w:sz="0" w:space="0" w:color="auto"/>
        <w:right w:val="none" w:sz="0" w:space="0" w:color="auto"/>
      </w:divBdr>
    </w:div>
    <w:div w:id="117410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21152;&#27691;&#31449;&#37559;&#21806;&#27691;&#29123;&#26009;&#32147;&#29151;&#35377;&#21487;&#31649;&#29702;&#36774;&#27861;.htm" TargetMode="External"/><Relationship Id="rId18" Type="http://schemas.openxmlformats.org/officeDocument/2006/relationships/hyperlink" Target="../law2/&#21152;&#27691;&#31449;&#37559;&#21806;&#27691;&#29123;&#26009;&#32147;&#29151;&#35377;&#21487;&#31649;&#29702;&#36774;&#27861;&#38468;&#34920;.pdf"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law/&#29986;&#26989;&#21109;&#26032;&#26781;&#20363;.docx" TargetMode="External"/><Relationship Id="rId7" Type="http://schemas.openxmlformats.org/officeDocument/2006/relationships/image" Target="media/image1.png"/><Relationship Id="rId12" Type="http://schemas.openxmlformats.org/officeDocument/2006/relationships/hyperlink" Target="../S-link&#20998;&#39006;&#27861;&#35215;&#32034;&#24341;02.docx" TargetMode="External"/><Relationship Id="rId17" Type="http://schemas.openxmlformats.org/officeDocument/2006/relationships/hyperlink" Target="../law/&#37117;&#24066;&#35336;&#30059;&#27861;.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law/&#21312;&#22495;&#35336;&#30059;&#27861;.docx" TargetMode="External"/><Relationship Id="rId20" Type="http://schemas.openxmlformats.org/officeDocument/2006/relationships/hyperlink" Target="../law/&#20419;&#36914;&#29986;&#26989;&#21319;&#32026;&#26781;&#20363;.docx" TargetMode="Externa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moea.gov.tw/" TargetMode="External"/><Relationship Id="rId24" Type="http://schemas.openxmlformats.org/officeDocument/2006/relationships/hyperlink" Target="https://www.6laws.net/comment.htm" TargetMode="External"/><Relationship Id="rId5" Type="http://schemas.openxmlformats.org/officeDocument/2006/relationships/endnotes" Target="endnotes.xml"/><Relationship Id="rId15" Type="http://schemas.openxmlformats.org/officeDocument/2006/relationships/hyperlink" Target="../law/&#22283;&#22303;&#35336;&#30059;&#27861;.docx" TargetMode="External"/><Relationship Id="rId23" Type="http://schemas.openxmlformats.org/officeDocument/2006/relationships/hyperlink" Target="../law3/&#32887;&#26989;&#23433;&#20840;&#34907;&#29983;&#25945;&#32946;&#35347;&#32244;&#35215;&#21063;.docx" TargetMode="External"/><Relationship Id="rId28" Type="http://schemas.openxmlformats.org/officeDocument/2006/relationships/theme" Target="theme/theme1.xml"/><Relationship Id="rId10" Type="http://schemas.openxmlformats.org/officeDocument/2006/relationships/hyperlink" Target="https://www.facebook.com/anita6law" TargetMode="External"/><Relationship Id="rId19" Type="http://schemas.openxmlformats.org/officeDocument/2006/relationships/hyperlink" Target="../law/&#29518;&#21237;&#25237;&#36039;&#26781;&#20363;.docx" TargetMode="External"/><Relationship Id="rId4" Type="http://schemas.openxmlformats.org/officeDocument/2006/relationships/footnotes" Target="footnotes.xml"/><Relationship Id="rId9" Type="http://schemas.openxmlformats.org/officeDocument/2006/relationships/hyperlink" Target="https://law.moj.gov.tw/LawClass/LawHistory.aspx?pcode=J0130098" TargetMode="External"/><Relationship Id="rId14" Type="http://schemas.openxmlformats.org/officeDocument/2006/relationships/hyperlink" Target="../law/&#33021;&#28304;&#31649;&#29702;&#27861;.docx" TargetMode="External"/><Relationship Id="rId22" Type="http://schemas.openxmlformats.org/officeDocument/2006/relationships/hyperlink" Target="../law3/&#39640;&#22739;&#27683;&#39636;&#21214;&#24037;&#23433;&#20840;&#35215;&#21063;.docx"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4849</Words>
  <Characters>1961</Characters>
  <Application>Microsoft Office Word</Application>
  <DocSecurity>0</DocSecurity>
  <Lines>16</Lines>
  <Paragraphs>13</Paragraphs>
  <ScaleCrop>false</ScaleCrop>
  <Company/>
  <LinksUpToDate>false</LinksUpToDate>
  <CharactersWithSpaces>6797</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加氫站銷售氫燃料經營許可管理辦法</dc:title>
  <dc:creator>S-link 電子六法-黃婉玲</dc:creator>
  <cp:lastModifiedBy>黃 6laws</cp:lastModifiedBy>
  <cp:revision>35</cp:revision>
  <dcterms:created xsi:type="dcterms:W3CDTF">2023-12-25T14:44:00Z</dcterms:created>
  <dcterms:modified xsi:type="dcterms:W3CDTF">2024-07-04T06:45:00Z</dcterms:modified>
</cp:coreProperties>
</file>