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55A99A" w14:textId="77777777" w:rsidR="00464EE7" w:rsidRDefault="00963E71" w:rsidP="00C564DD">
      <w:pPr>
        <w:adjustRightInd w:val="0"/>
        <w:snapToGrid w:val="0"/>
        <w:ind w:rightChars="8" w:right="16"/>
        <w:jc w:val="right"/>
        <w:rPr>
          <w:rFonts w:ascii="Arial Unicode MS" w:hAnsi="Arial Unicode MS"/>
        </w:rPr>
      </w:pPr>
      <w:r>
        <w:rPr>
          <w:rFonts w:ascii="Calibri" w:hAnsi="Calibri"/>
          <w:noProof/>
          <w:color w:val="5F5F5F"/>
          <w:sz w:val="18"/>
          <w:szCs w:val="20"/>
          <w:lang w:val="zh-TW"/>
        </w:rPr>
        <w:drawing>
          <wp:inline distT="0" distB="0" distL="0" distR="0" wp14:anchorId="03FBA284" wp14:editId="67965055">
            <wp:extent cx="415637" cy="415637"/>
            <wp:effectExtent l="0" t="0" r="3810" b="3810"/>
            <wp:docPr id="6" name="圖片 6">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圖片 6">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430080" cy="430080"/>
                    </a:xfrm>
                    <a:prstGeom prst="rect">
                      <a:avLst/>
                    </a:prstGeom>
                  </pic:spPr>
                </pic:pic>
              </a:graphicData>
            </a:graphic>
          </wp:inline>
        </w:drawing>
      </w:r>
    </w:p>
    <w:p w14:paraId="2658545C" w14:textId="237FD4FA" w:rsidR="00464EE7" w:rsidRDefault="00464EE7" w:rsidP="00C564DD">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8" w:tgtFrame="_blank" w:history="1">
        <w:r w:rsidRPr="002B0F1A">
          <w:rPr>
            <w:rStyle w:val="a3"/>
            <w:sz w:val="18"/>
            <w:szCs w:val="20"/>
          </w:rPr>
          <w:t>更新</w:t>
        </w:r>
      </w:hyperlink>
      <w:r>
        <w:rPr>
          <w:rFonts w:hint="eastAsia"/>
          <w:color w:val="7F7F7F"/>
          <w:sz w:val="18"/>
          <w:szCs w:val="20"/>
          <w:lang w:val="zh-TW"/>
        </w:rPr>
        <w:t>】</w:t>
      </w:r>
      <w:r w:rsidR="009A2C43">
        <w:rPr>
          <w:rFonts w:ascii="Arial Unicode MS" w:hAnsi="Arial Unicode MS"/>
          <w:color w:val="7F7F7F"/>
          <w:sz w:val="18"/>
          <w:szCs w:val="20"/>
        </w:rPr>
        <w:t>2019/11/19</w:t>
      </w:r>
      <w:r>
        <w:rPr>
          <w:rFonts w:hint="eastAsia"/>
          <w:color w:val="7F7F7F"/>
          <w:sz w:val="18"/>
          <w:szCs w:val="20"/>
          <w:lang w:val="zh-TW"/>
        </w:rPr>
        <w:t>【</w:t>
      </w:r>
      <w:r>
        <w:rPr>
          <w:rFonts w:hint="eastAsia"/>
          <w:color w:val="7F7F7F"/>
          <w:sz w:val="18"/>
          <w:szCs w:val="20"/>
        </w:rPr>
        <w:t>編輯著作權者</w:t>
      </w:r>
      <w:r>
        <w:rPr>
          <w:rFonts w:hint="eastAsia"/>
          <w:color w:val="7F7F7F"/>
          <w:sz w:val="18"/>
          <w:szCs w:val="20"/>
          <w:lang w:val="zh-TW"/>
        </w:rPr>
        <w:t>】</w:t>
      </w:r>
      <w:hyperlink r:id="rId9" w:tgtFrame="_blank" w:history="1">
        <w:r w:rsidRPr="00093ECA">
          <w:rPr>
            <w:rStyle w:val="a3"/>
            <w:sz w:val="18"/>
            <w:szCs w:val="20"/>
          </w:rPr>
          <w:t>黃婉玲</w:t>
        </w:r>
      </w:hyperlink>
    </w:p>
    <w:p w14:paraId="25A917FA" w14:textId="77777777" w:rsidR="0045425A" w:rsidRPr="00A0239E" w:rsidRDefault="00A0239E" w:rsidP="00A0239E">
      <w:pPr>
        <w:ind w:rightChars="-110" w:right="-220" w:firstLineChars="2880" w:firstLine="5184"/>
        <w:jc w:val="right"/>
        <w:rPr>
          <w:rFonts w:ascii="Arial Unicode MS" w:hAnsi="Arial Unicode MS"/>
          <w:color w:val="000080"/>
          <w:u w:val="single"/>
        </w:rPr>
      </w:pPr>
      <w:r>
        <w:rPr>
          <w:rFonts w:hint="eastAsia"/>
          <w:color w:val="808000"/>
          <w:sz w:val="18"/>
          <w:szCs w:val="20"/>
        </w:rPr>
        <w:t>（建議使用工具列</w:t>
      </w:r>
      <w:r>
        <w:rPr>
          <w:rFonts w:hint="eastAsia"/>
          <w:color w:val="808000"/>
          <w:sz w:val="18"/>
          <w:szCs w:val="20"/>
        </w:rPr>
        <w:t>--</w:t>
      </w:r>
      <w:r>
        <w:rPr>
          <w:rFonts w:hint="eastAsia"/>
          <w:color w:val="808000"/>
          <w:sz w:val="18"/>
          <w:szCs w:val="20"/>
        </w:rPr>
        <w:t>〉檢視</w:t>
      </w:r>
      <w:r>
        <w:rPr>
          <w:rFonts w:hint="eastAsia"/>
          <w:color w:val="808000"/>
          <w:sz w:val="18"/>
          <w:szCs w:val="20"/>
        </w:rPr>
        <w:t>--</w:t>
      </w:r>
      <w:r>
        <w:rPr>
          <w:rFonts w:hint="eastAsia"/>
          <w:color w:val="808000"/>
          <w:sz w:val="18"/>
          <w:szCs w:val="20"/>
        </w:rPr>
        <w:t>〉文件引導模式</w:t>
      </w:r>
      <w:r>
        <w:rPr>
          <w:rFonts w:hint="eastAsia"/>
          <w:color w:val="808000"/>
          <w:sz w:val="18"/>
          <w:szCs w:val="20"/>
        </w:rPr>
        <w:t>/</w:t>
      </w:r>
      <w:r>
        <w:rPr>
          <w:rFonts w:hint="eastAsia"/>
          <w:color w:val="808000"/>
          <w:sz w:val="18"/>
          <w:szCs w:val="20"/>
        </w:rPr>
        <w:t>功能窗格）</w:t>
      </w:r>
    </w:p>
    <w:tbl>
      <w:tblPr>
        <w:tblW w:w="5074" w:type="pct"/>
        <w:tblCellSpacing w:w="0" w:type="dxa"/>
        <w:tblInd w:w="15" w:type="dxa"/>
        <w:tblCellMar>
          <w:left w:w="0" w:type="dxa"/>
          <w:right w:w="0" w:type="dxa"/>
        </w:tblCellMar>
        <w:tblLook w:val="0000" w:firstRow="0" w:lastRow="0" w:firstColumn="0" w:lastColumn="0" w:noHBand="0" w:noVBand="0"/>
      </w:tblPr>
      <w:tblGrid>
        <w:gridCol w:w="1261"/>
        <w:gridCol w:w="5813"/>
        <w:gridCol w:w="2994"/>
      </w:tblGrid>
      <w:tr w:rsidR="0045425A" w:rsidRPr="000509F5" w14:paraId="74D7311D" w14:textId="77777777" w:rsidTr="002D7C4D">
        <w:trPr>
          <w:cantSplit/>
          <w:tblCellSpacing w:w="0" w:type="dxa"/>
        </w:trPr>
        <w:tc>
          <w:tcPr>
            <w:tcW w:w="626" w:type="pct"/>
            <w:tcBorders>
              <w:top w:val="nil"/>
              <w:left w:val="nil"/>
              <w:bottom w:val="nil"/>
              <w:right w:val="nil"/>
            </w:tcBorders>
            <w:shd w:val="clear" w:color="auto" w:fill="339966"/>
            <w:vAlign w:val="center"/>
          </w:tcPr>
          <w:p w14:paraId="6309A164" w14:textId="77777777" w:rsidR="0045425A" w:rsidRPr="002051F2" w:rsidRDefault="0045425A" w:rsidP="00C564DD">
            <w:pPr>
              <w:ind w:leftChars="-6" w:left="-12"/>
              <w:jc w:val="center"/>
              <w:rPr>
                <w:rFonts w:ascii="Arial Unicode MS" w:hAnsi="Arial Unicode MS"/>
                <w:b/>
                <w:bCs/>
                <w:color w:val="FFFFFF"/>
                <w:sz w:val="18"/>
                <w:szCs w:val="20"/>
              </w:rPr>
            </w:pPr>
            <w:r w:rsidRPr="002051F2">
              <w:rPr>
                <w:rFonts w:ascii="Arial Unicode MS" w:hAnsi="Arial Unicode MS"/>
                <w:b/>
                <w:bCs/>
                <w:color w:val="FFFFFF"/>
                <w:sz w:val="18"/>
                <w:szCs w:val="20"/>
              </w:rPr>
              <w:t>法</w:t>
            </w:r>
            <w:r w:rsidRPr="002051F2">
              <w:rPr>
                <w:rFonts w:ascii="Arial Unicode MS" w:hAnsi="Arial Unicode MS" w:hint="eastAsia"/>
                <w:b/>
                <w:bCs/>
                <w:color w:val="FFFFFF"/>
                <w:sz w:val="18"/>
                <w:szCs w:val="20"/>
              </w:rPr>
              <w:t>規名稱</w:t>
            </w:r>
          </w:p>
        </w:tc>
        <w:tc>
          <w:tcPr>
            <w:tcW w:w="2887" w:type="pct"/>
            <w:tcBorders>
              <w:top w:val="nil"/>
              <w:left w:val="nil"/>
              <w:bottom w:val="nil"/>
              <w:right w:val="nil"/>
            </w:tcBorders>
            <w:shd w:val="clear" w:color="auto" w:fill="F6FCF9"/>
            <w:vAlign w:val="center"/>
          </w:tcPr>
          <w:p w14:paraId="038175CA" w14:textId="36D3C89A" w:rsidR="0045425A" w:rsidRPr="002B0F1A" w:rsidRDefault="002B32A7" w:rsidP="00EC7AEC">
            <w:pPr>
              <w:jc w:val="center"/>
              <w:rPr>
                <w:rFonts w:eastAsia="標楷體"/>
                <w:sz w:val="28"/>
                <w:szCs w:val="28"/>
                <w14:shadow w14:blurRad="50800" w14:dist="38100" w14:dir="2700000" w14:sx="100000" w14:sy="100000" w14:kx="0" w14:ky="0" w14:algn="tl">
                  <w14:srgbClr w14:val="000000">
                    <w14:alpha w14:val="60000"/>
                  </w14:srgbClr>
                </w14:shadow>
              </w:rPr>
            </w:pPr>
            <w:r w:rsidRPr="002B32A7">
              <w:rPr>
                <w:rFonts w:eastAsia="標楷體" w:hint="eastAsia"/>
                <w:sz w:val="28"/>
                <w:szCs w:val="28"/>
                <w14:shadow w14:blurRad="50800" w14:dist="38100" w14:dir="2700000" w14:sx="100000" w14:sy="100000" w14:kx="0" w14:ky="0" w14:algn="tl">
                  <w14:srgbClr w14:val="000000">
                    <w14:alpha w14:val="60000"/>
                  </w14:srgbClr>
                </w14:shadow>
              </w:rPr>
              <w:t>主管機關執行勞資爭議調解注意事項</w:t>
            </w:r>
          </w:p>
        </w:tc>
        <w:tc>
          <w:tcPr>
            <w:tcW w:w="1487" w:type="pct"/>
            <w:tcBorders>
              <w:top w:val="nil"/>
              <w:left w:val="nil"/>
              <w:bottom w:val="nil"/>
              <w:right w:val="nil"/>
            </w:tcBorders>
            <w:shd w:val="clear" w:color="auto" w:fill="F6FCF9"/>
            <w:vAlign w:val="center"/>
          </w:tcPr>
          <w:p w14:paraId="18906E8C" w14:textId="0F06D812" w:rsidR="00EC7AEC" w:rsidRDefault="0045425A" w:rsidP="00C564DD">
            <w:pPr>
              <w:ind w:leftChars="-6" w:left="-12"/>
              <w:jc w:val="both"/>
              <w:rPr>
                <w:rFonts w:ascii="Arial Unicode MS" w:hAnsi="Arial Unicode MS"/>
                <w:color w:val="333333"/>
              </w:rPr>
            </w:pPr>
            <w:r w:rsidRPr="000509F5">
              <w:rPr>
                <w:rFonts w:ascii="Arial Unicode MS" w:hAnsi="Arial Unicode MS"/>
                <w:color w:val="333333"/>
              </w:rPr>
              <w:t>【公布日期】</w:t>
            </w:r>
            <w:r w:rsidR="0072003B">
              <w:rPr>
                <w:rFonts w:ascii="Arial Unicode MS" w:hAnsi="Arial Unicode MS" w:hint="eastAsia"/>
                <w:color w:val="333333"/>
              </w:rPr>
              <w:t>1</w:t>
            </w:r>
            <w:r w:rsidR="0072003B">
              <w:rPr>
                <w:rFonts w:ascii="Arial Unicode MS" w:hAnsi="Arial Unicode MS"/>
                <w:color w:val="333333"/>
              </w:rPr>
              <w:t>08.11.15</w:t>
            </w:r>
          </w:p>
          <w:p w14:paraId="77EDB21E" w14:textId="458EBB04" w:rsidR="0045425A" w:rsidRPr="000509F5" w:rsidRDefault="0045425A" w:rsidP="00C564DD">
            <w:pPr>
              <w:ind w:leftChars="-6" w:left="-12"/>
              <w:jc w:val="both"/>
              <w:rPr>
                <w:rFonts w:ascii="Arial Unicode MS" w:hAnsi="Arial Unicode MS"/>
                <w:color w:val="333333"/>
              </w:rPr>
            </w:pPr>
            <w:r w:rsidRPr="000509F5">
              <w:rPr>
                <w:rFonts w:ascii="Arial Unicode MS" w:hAnsi="Arial Unicode MS"/>
                <w:color w:val="333333"/>
              </w:rPr>
              <w:t>【公布機關】</w:t>
            </w:r>
            <w:r w:rsidR="0020014B" w:rsidRPr="00AF782C">
              <w:rPr>
                <w:rFonts w:ascii="Arial Unicode MS" w:hAnsi="Arial Unicode MS" w:hint="eastAsia"/>
                <w:sz w:val="18"/>
              </w:rPr>
              <w:t>勞動部</w:t>
            </w:r>
          </w:p>
        </w:tc>
      </w:tr>
    </w:tbl>
    <w:p w14:paraId="7E842E6D" w14:textId="3B06E970" w:rsidR="0045425A" w:rsidRPr="00104FBB" w:rsidRDefault="008013F3" w:rsidP="008013F3">
      <w:pPr>
        <w:jc w:val="center"/>
        <w:rPr>
          <w:rFonts w:ascii="Arial Unicode MS" w:hAnsi="Arial Unicode MS"/>
          <w:b/>
          <w:bCs/>
          <w:color w:val="800000"/>
        </w:rPr>
      </w:pPr>
      <w:r w:rsidRPr="00104FBB">
        <w:rPr>
          <w:rFonts w:ascii="Arial Unicode MS" w:hAnsi="Arial Unicode MS" w:hint="eastAsia"/>
          <w:color w:val="FFFFFF"/>
          <w:sz w:val="18"/>
        </w:rPr>
        <w:t>‧</w:t>
      </w:r>
      <w:hyperlink r:id="rId10" w:anchor="主管機關執行勞資爭議調解注意事項" w:history="1">
        <w:r w:rsidRPr="00104FBB">
          <w:rPr>
            <w:rStyle w:val="a3"/>
            <w:rFonts w:ascii="Arial Unicode MS" w:hAnsi="Arial Unicode MS" w:hint="eastAsia"/>
            <w:sz w:val="18"/>
          </w:rPr>
          <w:t>S-link</w:t>
        </w:r>
        <w:bookmarkStart w:id="1" w:name="_GoBack"/>
        <w:r w:rsidRPr="00104FBB">
          <w:rPr>
            <w:rStyle w:val="a3"/>
            <w:rFonts w:ascii="Arial Unicode MS" w:hAnsi="Arial Unicode MS" w:hint="eastAsia"/>
            <w:sz w:val="18"/>
          </w:rPr>
          <w:t>索</w:t>
        </w:r>
        <w:bookmarkEnd w:id="1"/>
        <w:r w:rsidRPr="00104FBB">
          <w:rPr>
            <w:rStyle w:val="a3"/>
            <w:rFonts w:ascii="Arial Unicode MS" w:hAnsi="Arial Unicode MS" w:hint="eastAsia"/>
            <w:sz w:val="18"/>
          </w:rPr>
          <w:t>引</w:t>
        </w:r>
      </w:hyperlink>
      <w:r w:rsidR="00262E08">
        <w:rPr>
          <w:rFonts w:ascii="Arial Unicode MS" w:hAnsi="Arial Unicode MS" w:hint="eastAsia"/>
          <w:b/>
          <w:color w:val="5F5F5F"/>
          <w:sz w:val="18"/>
        </w:rPr>
        <w:t>〉〉</w:t>
      </w:r>
      <w:hyperlink r:id="rId11" w:tgtFrame="_blank" w:history="1">
        <w:r w:rsidRPr="00104FBB">
          <w:rPr>
            <w:rStyle w:val="a3"/>
            <w:rFonts w:ascii="Arial Unicode MS" w:hAnsi="Arial Unicode MS" w:hint="eastAsia"/>
            <w:sz w:val="18"/>
          </w:rPr>
          <w:t>線上網頁版</w:t>
        </w:r>
      </w:hyperlink>
      <w:r w:rsidR="00262E08">
        <w:rPr>
          <w:rFonts w:ascii="Arial Unicode MS" w:hAnsi="Arial Unicode MS" w:hint="eastAsia"/>
          <w:b/>
          <w:color w:val="5F5F5F"/>
          <w:sz w:val="18"/>
        </w:rPr>
        <w:t>〉〉</w:t>
      </w:r>
    </w:p>
    <w:p w14:paraId="2FF60668" w14:textId="77777777" w:rsidR="0045425A" w:rsidRPr="00C564DD" w:rsidRDefault="0045425A" w:rsidP="00C564DD">
      <w:pPr>
        <w:pStyle w:val="1"/>
        <w:rPr>
          <w:color w:val="990000"/>
        </w:rPr>
      </w:pPr>
      <w:r w:rsidRPr="00C564DD">
        <w:rPr>
          <w:color w:val="990000"/>
        </w:rPr>
        <w:t>【</w:t>
      </w:r>
      <w:r w:rsidRPr="00C564DD">
        <w:rPr>
          <w:rFonts w:hint="eastAsia"/>
          <w:color w:val="990000"/>
        </w:rPr>
        <w:t>法規沿革</w:t>
      </w:r>
      <w:r w:rsidRPr="00C564DD">
        <w:rPr>
          <w:color w:val="990000"/>
        </w:rPr>
        <w:t>】</w:t>
      </w:r>
    </w:p>
    <w:p w14:paraId="405284F0" w14:textId="6E4C8B04" w:rsidR="00AF782C" w:rsidRPr="00AF782C" w:rsidRDefault="00AF782C" w:rsidP="00AF782C">
      <w:pPr>
        <w:ind w:left="142"/>
        <w:rPr>
          <w:rFonts w:ascii="Arial Unicode MS" w:hAnsi="Arial Unicode MS"/>
          <w:sz w:val="18"/>
        </w:rPr>
      </w:pPr>
      <w:r w:rsidRPr="00AF782C">
        <w:rPr>
          <w:rFonts w:ascii="Arial Unicode MS" w:hAnsi="Arial Unicode MS" w:hint="eastAsia"/>
          <w:b/>
          <w:sz w:val="18"/>
        </w:rPr>
        <w:t>1</w:t>
      </w:r>
      <w:r w:rsidRPr="00AF782C">
        <w:rPr>
          <w:rFonts w:ascii="Arial Unicode MS" w:hAnsi="Arial Unicode MS" w:hint="eastAsia"/>
          <w:b/>
          <w:sz w:val="18"/>
        </w:rPr>
        <w:t>‧</w:t>
      </w:r>
      <w:r w:rsidRPr="00AF782C">
        <w:rPr>
          <w:rFonts w:ascii="Arial Unicode MS" w:hAnsi="Arial Unicode MS" w:hint="eastAsia"/>
          <w:sz w:val="18"/>
        </w:rPr>
        <w:t>中華民國七十七年八月三十日行政院勞工委員會台（</w:t>
      </w:r>
      <w:r w:rsidRPr="00AF782C">
        <w:rPr>
          <w:rFonts w:ascii="Arial Unicode MS" w:hAnsi="Arial Unicode MS" w:hint="eastAsia"/>
          <w:sz w:val="18"/>
        </w:rPr>
        <w:t>77</w:t>
      </w:r>
      <w:r w:rsidRPr="00AF782C">
        <w:rPr>
          <w:rFonts w:ascii="Arial Unicode MS" w:hAnsi="Arial Unicode MS" w:hint="eastAsia"/>
          <w:sz w:val="18"/>
        </w:rPr>
        <w:t>）勞資三字第</w:t>
      </w:r>
      <w:r w:rsidRPr="00AF782C">
        <w:rPr>
          <w:rFonts w:ascii="Arial Unicode MS" w:hAnsi="Arial Unicode MS" w:hint="eastAsia"/>
          <w:sz w:val="18"/>
        </w:rPr>
        <w:t>19591</w:t>
      </w:r>
      <w:r w:rsidRPr="00AF782C">
        <w:rPr>
          <w:rFonts w:ascii="Arial Unicode MS" w:hAnsi="Arial Unicode MS" w:hint="eastAsia"/>
          <w:sz w:val="18"/>
        </w:rPr>
        <w:t>號函訂定發布全文</w:t>
      </w:r>
      <w:r w:rsidRPr="00AF782C">
        <w:rPr>
          <w:rFonts w:ascii="Arial Unicode MS" w:hAnsi="Arial Unicode MS" w:hint="eastAsia"/>
          <w:sz w:val="18"/>
        </w:rPr>
        <w:t>12</w:t>
      </w:r>
      <w:r w:rsidRPr="00AF782C">
        <w:rPr>
          <w:rFonts w:ascii="Arial Unicode MS" w:hAnsi="Arial Unicode MS" w:hint="eastAsia"/>
          <w:sz w:val="18"/>
        </w:rPr>
        <w:t>點（名稱：各級勞工行政主管機關辦理勞資爭議事件應行注意事項）</w:t>
      </w:r>
    </w:p>
    <w:p w14:paraId="7F7756D0" w14:textId="21090712" w:rsidR="00AF782C" w:rsidRDefault="00AF782C" w:rsidP="00AF782C">
      <w:pPr>
        <w:ind w:left="142"/>
        <w:rPr>
          <w:rFonts w:ascii="Arial Unicode MS" w:hAnsi="Arial Unicode MS"/>
          <w:sz w:val="18"/>
        </w:rPr>
      </w:pPr>
      <w:r w:rsidRPr="00AF782C">
        <w:rPr>
          <w:rFonts w:ascii="Arial Unicode MS" w:hAnsi="Arial Unicode MS" w:hint="eastAsia"/>
          <w:b/>
          <w:sz w:val="18"/>
        </w:rPr>
        <w:t>2</w:t>
      </w:r>
      <w:r w:rsidRPr="00AF782C">
        <w:rPr>
          <w:rFonts w:ascii="Arial Unicode MS" w:hAnsi="Arial Unicode MS" w:hint="eastAsia"/>
          <w:b/>
          <w:sz w:val="18"/>
        </w:rPr>
        <w:t>‧</w:t>
      </w:r>
      <w:r w:rsidRPr="00AF782C">
        <w:rPr>
          <w:rFonts w:ascii="Arial Unicode MS" w:hAnsi="Arial Unicode MS" w:hint="eastAsia"/>
          <w:sz w:val="18"/>
        </w:rPr>
        <w:t>中華民國一百零八年十一月十五日勞動部勞動關</w:t>
      </w:r>
      <w:r w:rsidRPr="00AF782C">
        <w:rPr>
          <w:rFonts w:ascii="Arial Unicode MS" w:hAnsi="Arial Unicode MS" w:hint="eastAsia"/>
          <w:sz w:val="18"/>
        </w:rPr>
        <w:t>3</w:t>
      </w:r>
      <w:r w:rsidRPr="00AF782C">
        <w:rPr>
          <w:rFonts w:ascii="Arial Unicode MS" w:hAnsi="Arial Unicode MS" w:hint="eastAsia"/>
          <w:sz w:val="18"/>
        </w:rPr>
        <w:t>字第</w:t>
      </w:r>
      <w:r w:rsidRPr="00AF782C">
        <w:rPr>
          <w:rFonts w:ascii="Arial Unicode MS" w:hAnsi="Arial Unicode MS" w:hint="eastAsia"/>
          <w:sz w:val="18"/>
        </w:rPr>
        <w:t>1080128507</w:t>
      </w:r>
      <w:r w:rsidRPr="00AF782C">
        <w:rPr>
          <w:rFonts w:ascii="Arial Unicode MS" w:hAnsi="Arial Unicode MS" w:hint="eastAsia"/>
          <w:sz w:val="18"/>
        </w:rPr>
        <w:t>號令修正發布名稱及全文</w:t>
      </w:r>
      <w:r w:rsidRPr="00AF782C">
        <w:rPr>
          <w:rFonts w:ascii="Arial Unicode MS" w:hAnsi="Arial Unicode MS" w:hint="eastAsia"/>
          <w:sz w:val="18"/>
        </w:rPr>
        <w:t>14</w:t>
      </w:r>
      <w:r w:rsidRPr="00AF782C">
        <w:rPr>
          <w:rFonts w:ascii="Arial Unicode MS" w:hAnsi="Arial Unicode MS" w:hint="eastAsia"/>
          <w:sz w:val="18"/>
        </w:rPr>
        <w:t>點；並自即日生效</w:t>
      </w:r>
    </w:p>
    <w:p w14:paraId="625AEF6D" w14:textId="77777777" w:rsidR="00AF782C" w:rsidRDefault="00AF782C" w:rsidP="00EC7AEC">
      <w:pPr>
        <w:ind w:firstLineChars="100" w:firstLine="180"/>
        <w:rPr>
          <w:rFonts w:ascii="Arial Unicode MS" w:hAnsi="Arial Unicode MS"/>
          <w:sz w:val="18"/>
        </w:rPr>
      </w:pPr>
    </w:p>
    <w:p w14:paraId="3AF93D1B" w14:textId="77777777" w:rsidR="0045425A" w:rsidRPr="00C564DD" w:rsidRDefault="0045425A" w:rsidP="00C564DD">
      <w:pPr>
        <w:pStyle w:val="1"/>
        <w:rPr>
          <w:color w:val="990000"/>
        </w:rPr>
      </w:pPr>
      <w:r w:rsidRPr="00C564DD">
        <w:rPr>
          <w:color w:val="990000"/>
        </w:rPr>
        <w:t>【</w:t>
      </w:r>
      <w:r w:rsidRPr="00C564DD">
        <w:rPr>
          <w:rFonts w:hint="eastAsia"/>
          <w:color w:val="990000"/>
        </w:rPr>
        <w:t>法規內容</w:t>
      </w:r>
      <w:r w:rsidRPr="00C564DD">
        <w:rPr>
          <w:color w:val="990000"/>
        </w:rPr>
        <w:t>】</w:t>
      </w:r>
    </w:p>
    <w:p w14:paraId="44AC4C41" w14:textId="77777777" w:rsidR="00AF782C" w:rsidRDefault="00AF782C" w:rsidP="00AF782C">
      <w:pPr>
        <w:pStyle w:val="2"/>
      </w:pPr>
      <w:bookmarkStart w:id="2" w:name="a1"/>
      <w:bookmarkEnd w:id="2"/>
      <w:r>
        <w:t>第</w:t>
      </w:r>
      <w:r>
        <w:t>1</w:t>
      </w:r>
      <w:r>
        <w:t>點</w:t>
      </w:r>
    </w:p>
    <w:p w14:paraId="62554635" w14:textId="47DDA5E5" w:rsidR="00AF782C" w:rsidRDefault="00AF782C" w:rsidP="00AF782C">
      <w:pPr>
        <w:ind w:left="142"/>
      </w:pPr>
      <w:r>
        <w:t xml:space="preserve">　　勞動部為使直轄市及縣（市）主管機關（以下簡稱地方主管機關）切實依照勞資爭議處理法（以下簡稱本法）</w:t>
      </w:r>
      <w:hyperlink r:id="rId12" w:anchor="b9" w:history="1">
        <w:r w:rsidRPr="00684583">
          <w:rPr>
            <w:rStyle w:val="a3"/>
            <w:rFonts w:ascii="Times New Roman" w:hAnsi="Times New Roman"/>
          </w:rPr>
          <w:t>第二章</w:t>
        </w:r>
      </w:hyperlink>
      <w:r>
        <w:t>規定執行勞資爭議調解業務，特訂定本注意事項。</w:t>
      </w:r>
    </w:p>
    <w:p w14:paraId="79A7E2CB" w14:textId="77777777" w:rsidR="00AF782C" w:rsidRDefault="00AF782C" w:rsidP="00AF782C">
      <w:pPr>
        <w:pStyle w:val="2"/>
      </w:pPr>
      <w:bookmarkStart w:id="3" w:name="a2"/>
      <w:bookmarkEnd w:id="3"/>
      <w:r>
        <w:t>第</w:t>
      </w:r>
      <w:r>
        <w:t>2</w:t>
      </w:r>
      <w:r>
        <w:t>點</w:t>
      </w:r>
    </w:p>
    <w:p w14:paraId="70A082FE" w14:textId="54D2174F" w:rsidR="00AF782C" w:rsidRDefault="00AF782C" w:rsidP="00AF782C">
      <w:pPr>
        <w:ind w:left="142"/>
      </w:pPr>
      <w:r>
        <w:t xml:space="preserve">　　地方主管機關受理調解案件後，應依本法第</w:t>
      </w:r>
      <w:hyperlink r:id="rId13" w:anchor="b12" w:history="1">
        <w:r w:rsidRPr="00684583">
          <w:rPr>
            <w:rStyle w:val="a3"/>
            <w:rFonts w:ascii="Times New Roman" w:hAnsi="Times New Roman"/>
          </w:rPr>
          <w:t>十二</w:t>
        </w:r>
      </w:hyperlink>
      <w:r>
        <w:t>條或第</w:t>
      </w:r>
      <w:hyperlink r:id="rId14" w:anchor="b16" w:history="1">
        <w:r w:rsidRPr="00684583">
          <w:rPr>
            <w:rStyle w:val="a3"/>
            <w:rFonts w:ascii="Times New Roman" w:hAnsi="Times New Roman"/>
          </w:rPr>
          <w:t>十六</w:t>
        </w:r>
      </w:hyperlink>
      <w:r>
        <w:t>條規定排定調解期日，並於該期日完成調解。但有特別情事者，不在此限。</w:t>
      </w:r>
    </w:p>
    <w:p w14:paraId="01584375" w14:textId="77777777" w:rsidR="00AF782C" w:rsidRDefault="00AF782C" w:rsidP="00AF782C">
      <w:pPr>
        <w:pStyle w:val="2"/>
      </w:pPr>
      <w:bookmarkStart w:id="4" w:name="a3"/>
      <w:bookmarkEnd w:id="4"/>
      <w:r>
        <w:t>第</w:t>
      </w:r>
      <w:r>
        <w:t>3</w:t>
      </w:r>
      <w:r>
        <w:t>點</w:t>
      </w:r>
    </w:p>
    <w:p w14:paraId="14493661" w14:textId="38B48B7E" w:rsidR="00AF782C" w:rsidRDefault="00AF782C" w:rsidP="00AF782C">
      <w:pPr>
        <w:ind w:left="142"/>
      </w:pPr>
      <w:r>
        <w:t xml:space="preserve">　　地方主管機關應確實要求調解人或調解委員依下列原則進行調解程序：</w:t>
      </w:r>
    </w:p>
    <w:p w14:paraId="42FE0AC7" w14:textId="1FDCE889" w:rsidR="00AF782C" w:rsidRDefault="00AF782C" w:rsidP="00AF782C">
      <w:pPr>
        <w:ind w:left="142"/>
      </w:pPr>
      <w:r>
        <w:t xml:space="preserve">　　（一）協助當事人以誠信方式配合程序之進行。</w:t>
      </w:r>
    </w:p>
    <w:p w14:paraId="6A90AFEE" w14:textId="19B02D89" w:rsidR="00AF782C" w:rsidRDefault="00AF782C" w:rsidP="00AF782C">
      <w:pPr>
        <w:ind w:left="142"/>
      </w:pPr>
      <w:r>
        <w:t xml:space="preserve">　　（二）曉諭當事人儘早提出事實與證據及整理相關爭點。</w:t>
      </w:r>
    </w:p>
    <w:p w14:paraId="3E44C953" w14:textId="3477068F" w:rsidR="00AF782C" w:rsidRDefault="00AF782C" w:rsidP="00AF782C">
      <w:pPr>
        <w:ind w:left="142"/>
      </w:pPr>
      <w:r>
        <w:t xml:space="preserve">　　（三）詳實檢視案情之資料及聽取當事人之陳述。</w:t>
      </w:r>
    </w:p>
    <w:p w14:paraId="572F1CFD" w14:textId="17F958D5" w:rsidR="00AF782C" w:rsidRDefault="00AF782C" w:rsidP="00AF782C">
      <w:pPr>
        <w:ind w:left="142"/>
      </w:pPr>
      <w:r>
        <w:t xml:space="preserve">　　（四）得依當事人申請或職權調查事實及必要之證據。</w:t>
      </w:r>
    </w:p>
    <w:p w14:paraId="7C0947B4" w14:textId="2E387755" w:rsidR="00AF782C" w:rsidRDefault="00AF782C" w:rsidP="00AF782C">
      <w:pPr>
        <w:ind w:left="142"/>
      </w:pPr>
      <w:r>
        <w:t xml:space="preserve">　　（五）依據所調查之事實作出適當之調解方案。</w:t>
      </w:r>
    </w:p>
    <w:p w14:paraId="27F84A3F" w14:textId="77777777" w:rsidR="00AF782C" w:rsidRDefault="00AF782C" w:rsidP="00AF782C">
      <w:pPr>
        <w:pStyle w:val="2"/>
      </w:pPr>
      <w:bookmarkStart w:id="5" w:name="a4"/>
      <w:bookmarkEnd w:id="5"/>
      <w:r>
        <w:t>第</w:t>
      </w:r>
      <w:r>
        <w:t>4</w:t>
      </w:r>
      <w:r>
        <w:t>點</w:t>
      </w:r>
    </w:p>
    <w:p w14:paraId="2F7FBD02" w14:textId="32209B73" w:rsidR="00AF782C" w:rsidRDefault="00AF782C" w:rsidP="00AF782C">
      <w:pPr>
        <w:ind w:left="142"/>
      </w:pPr>
      <w:r>
        <w:t xml:space="preserve">　　地方主管機關召集調解委員會時，主席或代為指定之調解委員因故無法主持或出席會議，得另行指派主席或指定委員開會，並將該事由記載於調解紀錄。</w:t>
      </w:r>
    </w:p>
    <w:p w14:paraId="1C6437A1" w14:textId="26A56382" w:rsidR="00AF782C" w:rsidRPr="00AF782C" w:rsidRDefault="00AF782C" w:rsidP="00AF782C">
      <w:pPr>
        <w:ind w:left="142"/>
        <w:rPr>
          <w:color w:val="17365D"/>
        </w:rPr>
      </w:pPr>
      <w:r w:rsidRPr="00AF782C">
        <w:rPr>
          <w:color w:val="17365D"/>
        </w:rPr>
        <w:t xml:space="preserve">　　未符合本法第</w:t>
      </w:r>
      <w:hyperlink r:id="rId15" w:anchor="b18" w:history="1">
        <w:r w:rsidRPr="00684583">
          <w:rPr>
            <w:rStyle w:val="a3"/>
            <w:rFonts w:ascii="Times New Roman" w:hAnsi="Times New Roman"/>
          </w:rPr>
          <w:t>十八</w:t>
        </w:r>
      </w:hyperlink>
      <w:r w:rsidRPr="00AF782C">
        <w:rPr>
          <w:color w:val="17365D"/>
        </w:rPr>
        <w:t>條所定調解委員過半數出席情形時，地方主管機關應速訂下次會議時間，並通知當事人。</w:t>
      </w:r>
    </w:p>
    <w:p w14:paraId="22EDD591" w14:textId="77777777" w:rsidR="00AF782C" w:rsidRDefault="00AF782C" w:rsidP="00AF782C">
      <w:pPr>
        <w:pStyle w:val="2"/>
      </w:pPr>
      <w:bookmarkStart w:id="6" w:name="a5"/>
      <w:bookmarkEnd w:id="6"/>
      <w:r>
        <w:t>第</w:t>
      </w:r>
      <w:r>
        <w:t>5</w:t>
      </w:r>
      <w:r>
        <w:t>點</w:t>
      </w:r>
    </w:p>
    <w:p w14:paraId="29653D28" w14:textId="7B450C17" w:rsidR="00AF782C" w:rsidRDefault="00AF782C" w:rsidP="00AF782C">
      <w:pPr>
        <w:ind w:left="142"/>
      </w:pPr>
      <w:r>
        <w:t xml:space="preserve">　　地方主管機關或受委託之民間團體指派調解人召開調解會議，調解人因故無法主持會議，不得委任他人代理。但有正當事由時，得重新指派調解人，並將該事由記載於調解紀錄。</w:t>
      </w:r>
    </w:p>
    <w:p w14:paraId="3EA1D1BD" w14:textId="587FA703" w:rsidR="00AF782C" w:rsidRPr="00AF782C" w:rsidRDefault="00AF782C" w:rsidP="00AF782C">
      <w:pPr>
        <w:ind w:left="142"/>
        <w:rPr>
          <w:color w:val="17365D"/>
        </w:rPr>
      </w:pPr>
      <w:r w:rsidRPr="00AF782C">
        <w:rPr>
          <w:color w:val="17365D"/>
        </w:rPr>
        <w:t xml:space="preserve">　　前項情形致未能開會時，地方主管機關或受委託之民間團體應速訂下次會議時間，並通知當事人。</w:t>
      </w:r>
    </w:p>
    <w:p w14:paraId="02784ABD" w14:textId="77777777" w:rsidR="00AF782C" w:rsidRDefault="00AF782C" w:rsidP="00AF782C">
      <w:pPr>
        <w:pStyle w:val="2"/>
      </w:pPr>
      <w:bookmarkStart w:id="7" w:name="a6"/>
      <w:bookmarkEnd w:id="7"/>
      <w:r>
        <w:t>第</w:t>
      </w:r>
      <w:r>
        <w:t>6</w:t>
      </w:r>
      <w:r>
        <w:t>點</w:t>
      </w:r>
    </w:p>
    <w:p w14:paraId="0B60CAD0" w14:textId="1926D9A5" w:rsidR="00AF782C" w:rsidRDefault="00AF782C" w:rsidP="00AF782C">
      <w:pPr>
        <w:ind w:left="142"/>
      </w:pPr>
      <w:r>
        <w:t xml:space="preserve">　　調解會議中，當事人或代理人發生嚴重肢體、言語衝突或有妨害公共秩序之虞者，調解人或調解委員會主</w:t>
      </w:r>
      <w:r>
        <w:lastRenderedPageBreak/>
        <w:t>席應適時制止，並曉諭調解之目的及功能。</w:t>
      </w:r>
    </w:p>
    <w:p w14:paraId="2A69E47E" w14:textId="39B1EA20" w:rsidR="00AF782C" w:rsidRPr="00AF782C" w:rsidRDefault="00AF782C" w:rsidP="00AF782C">
      <w:pPr>
        <w:ind w:left="142"/>
        <w:rPr>
          <w:color w:val="17365D"/>
        </w:rPr>
      </w:pPr>
      <w:r w:rsidRPr="00AF782C">
        <w:rPr>
          <w:color w:val="17365D"/>
        </w:rPr>
        <w:t xml:space="preserve">　　前項情形，調解人或調解委員會主席得視情況中止會議，並聯繫警察機關協助處理。</w:t>
      </w:r>
    </w:p>
    <w:p w14:paraId="04A69BC1" w14:textId="77777777" w:rsidR="00AF782C" w:rsidRDefault="00AF782C" w:rsidP="00AF782C">
      <w:pPr>
        <w:pStyle w:val="2"/>
      </w:pPr>
      <w:bookmarkStart w:id="8" w:name="a7"/>
      <w:bookmarkEnd w:id="8"/>
      <w:r>
        <w:t>第</w:t>
      </w:r>
      <w:r>
        <w:t>7</w:t>
      </w:r>
      <w:r>
        <w:t>點</w:t>
      </w:r>
    </w:p>
    <w:p w14:paraId="3CE62542" w14:textId="5BD7E630" w:rsidR="00AF782C" w:rsidRDefault="00AF782C" w:rsidP="00AF782C">
      <w:pPr>
        <w:ind w:left="142"/>
      </w:pPr>
      <w:r>
        <w:t xml:space="preserve">　　召開調解會議時，應查驗出席當事人身分證明之文件；代理人出席者，亦應查驗其身分、授權證明文件及授權範圍，尤應注意是否有和解等事項之特別授權。</w:t>
      </w:r>
    </w:p>
    <w:p w14:paraId="754B6F4E" w14:textId="77777777" w:rsidR="00AF782C" w:rsidRDefault="00AF782C" w:rsidP="00AF782C">
      <w:pPr>
        <w:pStyle w:val="2"/>
      </w:pPr>
      <w:bookmarkStart w:id="9" w:name="a8"/>
      <w:bookmarkEnd w:id="9"/>
      <w:r>
        <w:t>第</w:t>
      </w:r>
      <w:r>
        <w:t>8</w:t>
      </w:r>
      <w:r>
        <w:t>點</w:t>
      </w:r>
    </w:p>
    <w:p w14:paraId="264D4770" w14:textId="06B1FD34" w:rsidR="00AF782C" w:rsidRDefault="00AF782C" w:rsidP="00AF782C">
      <w:pPr>
        <w:ind w:left="142"/>
      </w:pPr>
      <w:r>
        <w:t xml:space="preserve">　　調解會議中，調解人或調解委員發現代理人有挑唆或包攬調解案件等行為者，應曉諭當事人。</w:t>
      </w:r>
    </w:p>
    <w:p w14:paraId="37A2F417" w14:textId="77777777" w:rsidR="00AF782C" w:rsidRDefault="00AF782C" w:rsidP="00AF782C">
      <w:pPr>
        <w:pStyle w:val="2"/>
      </w:pPr>
      <w:bookmarkStart w:id="10" w:name="a9"/>
      <w:bookmarkEnd w:id="10"/>
      <w:r>
        <w:t>第</w:t>
      </w:r>
      <w:r>
        <w:t>9</w:t>
      </w:r>
      <w:r>
        <w:t>點</w:t>
      </w:r>
    </w:p>
    <w:p w14:paraId="710EE7FC" w14:textId="69FA051C" w:rsidR="00AF782C" w:rsidRDefault="00AF782C" w:rsidP="00AF782C">
      <w:pPr>
        <w:ind w:left="142"/>
      </w:pPr>
      <w:r>
        <w:t xml:space="preserve">　　地方主管機關辦理調解案件時，除應協助當事人解決勞資爭議外，調解人或調解委員會遇當事人另為陳情或申訴時，應指導或協助另案辦理。</w:t>
      </w:r>
    </w:p>
    <w:p w14:paraId="62D3B18D" w14:textId="77777777" w:rsidR="00AF782C" w:rsidRDefault="00AF782C" w:rsidP="00AF782C">
      <w:pPr>
        <w:pStyle w:val="2"/>
      </w:pPr>
      <w:bookmarkStart w:id="11" w:name="a10"/>
      <w:bookmarkEnd w:id="11"/>
      <w:r>
        <w:t>第</w:t>
      </w:r>
      <w:r>
        <w:t>10</w:t>
      </w:r>
      <w:r>
        <w:t>點</w:t>
      </w:r>
    </w:p>
    <w:p w14:paraId="3691338B" w14:textId="0101B385" w:rsidR="00AF782C" w:rsidRDefault="00AF782C" w:rsidP="00AF782C">
      <w:pPr>
        <w:ind w:left="142"/>
      </w:pPr>
      <w:r>
        <w:t xml:space="preserve">　　調解會議中，調解人或調解委員發現調解事項非屬本法</w:t>
      </w:r>
      <w:hyperlink r:id="rId16" w:anchor="b5" w:history="1">
        <w:r w:rsidRPr="00684583">
          <w:rPr>
            <w:rStyle w:val="a3"/>
            <w:rFonts w:ascii="Times New Roman" w:hAnsi="Times New Roman"/>
          </w:rPr>
          <w:t>第五條</w:t>
        </w:r>
      </w:hyperlink>
      <w:r>
        <w:t>所定勞資爭議時，得曉諭當事人撤案。</w:t>
      </w:r>
    </w:p>
    <w:p w14:paraId="20ABB174" w14:textId="6E3E806B" w:rsidR="00AF782C" w:rsidRDefault="00AF782C" w:rsidP="00AF782C">
      <w:pPr>
        <w:ind w:left="142"/>
      </w:pPr>
      <w:r>
        <w:t xml:space="preserve">　　前項情形，地方主管機關應協助當事人另循其他救濟途徑辦理。</w:t>
      </w:r>
    </w:p>
    <w:p w14:paraId="769A1C42" w14:textId="77777777" w:rsidR="00AF782C" w:rsidRDefault="00AF782C" w:rsidP="00AF782C">
      <w:pPr>
        <w:pStyle w:val="2"/>
      </w:pPr>
      <w:bookmarkStart w:id="12" w:name="a11"/>
      <w:bookmarkEnd w:id="12"/>
      <w:r>
        <w:t>第</w:t>
      </w:r>
      <w:r>
        <w:t>11</w:t>
      </w:r>
      <w:r>
        <w:t>點</w:t>
      </w:r>
    </w:p>
    <w:p w14:paraId="3E8856E8" w14:textId="6E4F631C" w:rsidR="00AF782C" w:rsidRDefault="00AF782C" w:rsidP="00AF782C">
      <w:pPr>
        <w:ind w:left="142"/>
      </w:pPr>
      <w:r>
        <w:t xml:space="preserve">　　調解會議中，除經調解人或調解委員會主席同意者外，不得有其他人員在場；在場之人有妨害調解之進行者，調解人或主席得令其退場。</w:t>
      </w:r>
    </w:p>
    <w:p w14:paraId="63DBF6DF" w14:textId="4687484D" w:rsidR="00AF782C" w:rsidRPr="00AF782C" w:rsidRDefault="00AF782C" w:rsidP="00AF782C">
      <w:pPr>
        <w:ind w:left="142"/>
        <w:rPr>
          <w:color w:val="17365D"/>
        </w:rPr>
      </w:pPr>
      <w:r w:rsidRPr="00AF782C">
        <w:rPr>
          <w:color w:val="17365D"/>
        </w:rPr>
        <w:t xml:space="preserve">　　調解人或調解委員會主席於作成前項決定前，得先徵詢當事人之意見。</w:t>
      </w:r>
    </w:p>
    <w:p w14:paraId="21E88676" w14:textId="77777777" w:rsidR="00AF782C" w:rsidRDefault="00AF782C" w:rsidP="00AF782C">
      <w:pPr>
        <w:pStyle w:val="2"/>
      </w:pPr>
      <w:bookmarkStart w:id="13" w:name="a12"/>
      <w:bookmarkEnd w:id="13"/>
      <w:r>
        <w:t>第</w:t>
      </w:r>
      <w:r>
        <w:t>12</w:t>
      </w:r>
      <w:r>
        <w:t>點</w:t>
      </w:r>
    </w:p>
    <w:p w14:paraId="3057CC01" w14:textId="6C30F9F7" w:rsidR="00AF782C" w:rsidRDefault="00AF782C" w:rsidP="00AF782C">
      <w:pPr>
        <w:ind w:left="142"/>
      </w:pPr>
      <w:r>
        <w:t xml:space="preserve">　　調解紀錄應詳實記載及內容明確，並由地方主管機關或受委託之民間團體依勞資爭議調解辦法第</w:t>
      </w:r>
      <w:hyperlink r:id="rId17" w:anchor="a25" w:history="1">
        <w:r w:rsidRPr="00684583">
          <w:rPr>
            <w:rStyle w:val="a3"/>
            <w:rFonts w:ascii="Times New Roman" w:hAnsi="Times New Roman"/>
          </w:rPr>
          <w:t>二十五</w:t>
        </w:r>
      </w:hyperlink>
      <w:r>
        <w:t>條所定期限，送達當事人。</w:t>
      </w:r>
    </w:p>
    <w:p w14:paraId="3D28E664" w14:textId="77777777" w:rsidR="00AF782C" w:rsidRDefault="00AF782C" w:rsidP="00AF782C">
      <w:pPr>
        <w:pStyle w:val="2"/>
      </w:pPr>
      <w:bookmarkStart w:id="14" w:name="a13"/>
      <w:bookmarkEnd w:id="14"/>
      <w:r>
        <w:t>第</w:t>
      </w:r>
      <w:r>
        <w:t>13</w:t>
      </w:r>
      <w:r>
        <w:t>點</w:t>
      </w:r>
    </w:p>
    <w:p w14:paraId="64856BB6" w14:textId="707B16DC" w:rsidR="00AF782C" w:rsidRDefault="00AF782C" w:rsidP="00AF782C">
      <w:pPr>
        <w:ind w:left="142"/>
      </w:pPr>
      <w:r>
        <w:t xml:space="preserve">　　調解會議中，除徵得當事人同意外，並經調解人或調解委員會同意後，始得錄音或錄影。</w:t>
      </w:r>
    </w:p>
    <w:p w14:paraId="57250AE4" w14:textId="0DC5E1E6" w:rsidR="00AF782C" w:rsidRPr="00AF782C" w:rsidRDefault="00AF782C" w:rsidP="00AF782C">
      <w:pPr>
        <w:ind w:left="142"/>
        <w:rPr>
          <w:color w:val="17365D"/>
        </w:rPr>
      </w:pPr>
      <w:r w:rsidRPr="00AF782C">
        <w:rPr>
          <w:color w:val="17365D"/>
        </w:rPr>
        <w:t xml:space="preserve">　　前項同意，應記載於調解紀錄。</w:t>
      </w:r>
    </w:p>
    <w:p w14:paraId="64D36ED4" w14:textId="77777777" w:rsidR="00AF782C" w:rsidRPr="00AF782C" w:rsidRDefault="00AF782C" w:rsidP="00AF782C">
      <w:pPr>
        <w:pStyle w:val="2"/>
      </w:pPr>
      <w:bookmarkStart w:id="15" w:name="a14"/>
      <w:bookmarkEnd w:id="15"/>
      <w:r w:rsidRPr="00AF782C">
        <w:t>第</w:t>
      </w:r>
      <w:r w:rsidRPr="00AF782C">
        <w:t>14</w:t>
      </w:r>
      <w:r w:rsidRPr="00AF782C">
        <w:t>點</w:t>
      </w:r>
    </w:p>
    <w:p w14:paraId="7127C389" w14:textId="77777777" w:rsidR="00AF782C" w:rsidRDefault="00AF782C" w:rsidP="00AF782C">
      <w:pPr>
        <w:ind w:leftChars="75" w:left="150"/>
        <w:jc w:val="both"/>
        <w:rPr>
          <w:rFonts w:ascii="Arial Unicode MS" w:hAnsi="Arial Unicode MS"/>
        </w:rPr>
      </w:pPr>
      <w:r>
        <w:t xml:space="preserve">　　調解不成立時，調解人或調解委員應向當事人說明得共同申請交付仲裁，以期快速解決爭議，穩定勞動關係。</w:t>
      </w:r>
    </w:p>
    <w:p w14:paraId="1D8545A6" w14:textId="77777777" w:rsidR="00AF782C" w:rsidRDefault="00AF782C" w:rsidP="00C564DD">
      <w:pPr>
        <w:ind w:leftChars="75" w:left="150"/>
        <w:jc w:val="both"/>
        <w:rPr>
          <w:rFonts w:ascii="Arial Unicode MS" w:hAnsi="Arial Unicode MS"/>
        </w:rPr>
      </w:pPr>
    </w:p>
    <w:p w14:paraId="4E538F67" w14:textId="77777777" w:rsidR="00DF678A" w:rsidRDefault="00DF678A" w:rsidP="00C564DD">
      <w:pPr>
        <w:ind w:leftChars="75" w:left="150"/>
        <w:jc w:val="both"/>
        <w:rPr>
          <w:rFonts w:ascii="Arial Unicode MS" w:hAnsi="Arial Unicode MS"/>
        </w:rPr>
      </w:pPr>
    </w:p>
    <w:p w14:paraId="76B145C5" w14:textId="77777777" w:rsidR="00B671FA" w:rsidRPr="00C1655B" w:rsidRDefault="00B671FA" w:rsidP="00B671FA">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C1655B">
        <w:rPr>
          <w:rStyle w:val="a3"/>
          <w:rFonts w:ascii="Arial Unicode MS" w:hAnsi="Arial Unicode MS" w:hint="eastAsia"/>
          <w:b/>
          <w:sz w:val="18"/>
          <w:u w:val="none"/>
        </w:rPr>
        <w:t>〉〉</w:t>
      </w:r>
    </w:p>
    <w:p w14:paraId="1A7C0435" w14:textId="77777777" w:rsidR="00AF782C" w:rsidRDefault="00B671FA" w:rsidP="00B671FA">
      <w:pPr>
        <w:ind w:leftChars="71" w:left="142"/>
        <w:jc w:val="both"/>
        <w:rPr>
          <w:rFonts w:ascii="Arial Unicode MS" w:hAnsi="Arial Unicode MS"/>
          <w:color w:val="808080"/>
          <w:sz w:val="18"/>
          <w:szCs w:val="20"/>
        </w:rPr>
      </w:pPr>
      <w:r w:rsidRPr="003D460F">
        <w:rPr>
          <w:rFonts w:hint="eastAsia"/>
          <w:color w:val="5F5F5F"/>
          <w:sz w:val="18"/>
          <w:szCs w:val="18"/>
        </w:rPr>
        <w:t>【編註】本檔法規資料以</w:t>
      </w:r>
      <w:r w:rsidRPr="003D460F">
        <w:rPr>
          <w:rFonts w:hint="eastAsia"/>
          <w:color w:val="5F5F5F"/>
          <w:sz w:val="18"/>
          <w:szCs w:val="18"/>
          <w:lang w:eastAsia="zh-HK"/>
        </w:rPr>
        <w:t>官方</w:t>
      </w:r>
      <w:r w:rsidRPr="003D460F">
        <w:rPr>
          <w:rFonts w:hint="eastAsia"/>
          <w:color w:val="5F5F5F"/>
          <w:sz w:val="18"/>
          <w:szCs w:val="18"/>
        </w:rPr>
        <w:t>資訊網為依據；本文僅供參考，如需引用請以正式檔為準。如有發現待更正部份及您所需本站未收編之法規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18" w:history="1">
        <w:r w:rsidRPr="00D2412B">
          <w:rPr>
            <w:rStyle w:val="a3"/>
            <w:rFonts w:ascii="Arial Unicode MS" w:hAnsi="Arial Unicode MS"/>
            <w:sz w:val="18"/>
            <w:szCs w:val="20"/>
          </w:rPr>
          <w:t>告知</w:t>
        </w:r>
      </w:hyperlink>
      <w:r w:rsidRPr="003D460F">
        <w:rPr>
          <w:rFonts w:hint="eastAsia"/>
          <w:color w:val="5F5F5F"/>
          <w:sz w:val="18"/>
          <w:szCs w:val="20"/>
        </w:rPr>
        <w:t>，謝謝！</w:t>
      </w:r>
    </w:p>
    <w:p w14:paraId="54A61EE2" w14:textId="1CCDB3EB" w:rsidR="0045425A" w:rsidRPr="004C1693" w:rsidRDefault="0045425A" w:rsidP="00B671FA">
      <w:pPr>
        <w:ind w:leftChars="50" w:left="100"/>
        <w:jc w:val="both"/>
        <w:rPr>
          <w:rFonts w:ascii="Arial Unicode MS" w:hAnsi="Arial Unicode MS"/>
          <w:color w:val="666699"/>
        </w:rPr>
      </w:pPr>
    </w:p>
    <w:sectPr w:rsidR="0045425A" w:rsidRPr="004C1693">
      <w:footerReference w:type="even" r:id="rId19"/>
      <w:footerReference w:type="default" r:id="rId20"/>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AFACED" w14:textId="77777777" w:rsidR="00D76ADF" w:rsidRDefault="00D76ADF">
      <w:r>
        <w:separator/>
      </w:r>
    </w:p>
  </w:endnote>
  <w:endnote w:type="continuationSeparator" w:id="0">
    <w:p w14:paraId="63420DF6" w14:textId="77777777" w:rsidR="00D76ADF" w:rsidRDefault="00D76A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999BE2"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14:paraId="79FDF195" w14:textId="77777777" w:rsidR="008013F3" w:rsidRDefault="008013F3">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D30A55"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45471D">
      <w:rPr>
        <w:rStyle w:val="a7"/>
        <w:noProof/>
      </w:rPr>
      <w:t>1</w:t>
    </w:r>
    <w:r>
      <w:rPr>
        <w:rStyle w:val="a7"/>
      </w:rPr>
      <w:fldChar w:fldCharType="end"/>
    </w:r>
  </w:p>
  <w:p w14:paraId="06403C65" w14:textId="1551772C" w:rsidR="008013F3" w:rsidRPr="00464EE7" w:rsidRDefault="00262E08">
    <w:pPr>
      <w:pStyle w:val="a6"/>
      <w:ind w:right="360"/>
      <w:jc w:val="right"/>
      <w:rPr>
        <w:rFonts w:ascii="Arial Unicode MS" w:hAnsi="Arial Unicode MS"/>
        <w:sz w:val="18"/>
      </w:rPr>
    </w:pPr>
    <w:r>
      <w:rPr>
        <w:rFonts w:ascii="Arial Unicode MS" w:hAnsi="Arial Unicode MS" w:hint="eastAsia"/>
        <w:sz w:val="18"/>
      </w:rPr>
      <w:t>〈〈</w:t>
    </w:r>
    <w:r w:rsidR="002A71CC" w:rsidRPr="002A71CC">
      <w:rPr>
        <w:rFonts w:ascii="Arial Unicode MS" w:hAnsi="Arial Unicode MS" w:hint="eastAsia"/>
        <w:sz w:val="18"/>
      </w:rPr>
      <w:t>主管機關執行勞資爭議調解注意事項</w:t>
    </w:r>
    <w:r>
      <w:rPr>
        <w:rFonts w:ascii="Arial Unicode MS" w:hAnsi="Arial Unicode MS" w:hint="eastAsia"/>
        <w:sz w:val="18"/>
      </w:rPr>
      <w:t>〉〉</w:t>
    </w:r>
    <w:r w:rsidR="008013F3" w:rsidRPr="00464EE7">
      <w:rPr>
        <w:rFonts w:ascii="Arial Unicode MS" w:hAnsi="Arial Unicode MS" w:hint="eastAsia"/>
        <w:sz w:val="18"/>
      </w:rPr>
      <w:t>S-link</w:t>
    </w:r>
    <w:r w:rsidR="008013F3" w:rsidRPr="00464EE7">
      <w:rPr>
        <w:rFonts w:ascii="Arial Unicode MS" w:hAnsi="Arial Unicode MS" w:hint="eastAsia"/>
        <w:sz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CDB8AF" w14:textId="77777777" w:rsidR="00D76ADF" w:rsidRDefault="00D76ADF">
      <w:r>
        <w:separator/>
      </w:r>
    </w:p>
  </w:footnote>
  <w:footnote w:type="continuationSeparator" w:id="0">
    <w:p w14:paraId="19501540" w14:textId="77777777" w:rsidR="00D76ADF" w:rsidRDefault="00D76AD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25A"/>
    <w:rsid w:val="000509F5"/>
    <w:rsid w:val="00081157"/>
    <w:rsid w:val="0009169A"/>
    <w:rsid w:val="00093ECA"/>
    <w:rsid w:val="000C7574"/>
    <w:rsid w:val="000C781E"/>
    <w:rsid w:val="00104FBB"/>
    <w:rsid w:val="001203F7"/>
    <w:rsid w:val="001605C6"/>
    <w:rsid w:val="001D50AD"/>
    <w:rsid w:val="0020014B"/>
    <w:rsid w:val="002051F2"/>
    <w:rsid w:val="00234B42"/>
    <w:rsid w:val="00262E08"/>
    <w:rsid w:val="002A71CC"/>
    <w:rsid w:val="002A7F86"/>
    <w:rsid w:val="002B0F1A"/>
    <w:rsid w:val="002B245E"/>
    <w:rsid w:val="002B32A7"/>
    <w:rsid w:val="002D7C4D"/>
    <w:rsid w:val="002F64E9"/>
    <w:rsid w:val="003062BF"/>
    <w:rsid w:val="003239C8"/>
    <w:rsid w:val="003757D6"/>
    <w:rsid w:val="00382652"/>
    <w:rsid w:val="003F0172"/>
    <w:rsid w:val="003F2FD5"/>
    <w:rsid w:val="0041579E"/>
    <w:rsid w:val="00422203"/>
    <w:rsid w:val="004277CF"/>
    <w:rsid w:val="00432D50"/>
    <w:rsid w:val="0045425A"/>
    <w:rsid w:val="0045471D"/>
    <w:rsid w:val="00464EE7"/>
    <w:rsid w:val="004702E6"/>
    <w:rsid w:val="004A6E50"/>
    <w:rsid w:val="004C1693"/>
    <w:rsid w:val="0051365B"/>
    <w:rsid w:val="00520F8A"/>
    <w:rsid w:val="005433B1"/>
    <w:rsid w:val="0054694E"/>
    <w:rsid w:val="0055240F"/>
    <w:rsid w:val="00553425"/>
    <w:rsid w:val="0056107E"/>
    <w:rsid w:val="00562560"/>
    <w:rsid w:val="005D2034"/>
    <w:rsid w:val="005E4CE0"/>
    <w:rsid w:val="00684583"/>
    <w:rsid w:val="006A625A"/>
    <w:rsid w:val="006C53DB"/>
    <w:rsid w:val="006E7FE9"/>
    <w:rsid w:val="00706DF9"/>
    <w:rsid w:val="0072003B"/>
    <w:rsid w:val="0072185D"/>
    <w:rsid w:val="0072241A"/>
    <w:rsid w:val="00765465"/>
    <w:rsid w:val="0079787C"/>
    <w:rsid w:val="007B59EF"/>
    <w:rsid w:val="007C4FA0"/>
    <w:rsid w:val="007C5552"/>
    <w:rsid w:val="007F4C46"/>
    <w:rsid w:val="008013F3"/>
    <w:rsid w:val="00825B51"/>
    <w:rsid w:val="008820E7"/>
    <w:rsid w:val="008B5DF5"/>
    <w:rsid w:val="00911FC0"/>
    <w:rsid w:val="00915D55"/>
    <w:rsid w:val="00963E71"/>
    <w:rsid w:val="00967AED"/>
    <w:rsid w:val="009A1D56"/>
    <w:rsid w:val="009A2C43"/>
    <w:rsid w:val="009F4926"/>
    <w:rsid w:val="00A0239E"/>
    <w:rsid w:val="00AB5C62"/>
    <w:rsid w:val="00AB72F0"/>
    <w:rsid w:val="00AF782C"/>
    <w:rsid w:val="00B671FA"/>
    <w:rsid w:val="00B714B2"/>
    <w:rsid w:val="00C12E3D"/>
    <w:rsid w:val="00C348EE"/>
    <w:rsid w:val="00C564DD"/>
    <w:rsid w:val="00C569DC"/>
    <w:rsid w:val="00C82059"/>
    <w:rsid w:val="00C91A2B"/>
    <w:rsid w:val="00CB599F"/>
    <w:rsid w:val="00CF6892"/>
    <w:rsid w:val="00D2766B"/>
    <w:rsid w:val="00D31165"/>
    <w:rsid w:val="00D605B9"/>
    <w:rsid w:val="00D65CA3"/>
    <w:rsid w:val="00D73296"/>
    <w:rsid w:val="00D76ADF"/>
    <w:rsid w:val="00D905D3"/>
    <w:rsid w:val="00DE6D38"/>
    <w:rsid w:val="00DF678A"/>
    <w:rsid w:val="00E60425"/>
    <w:rsid w:val="00E840C3"/>
    <w:rsid w:val="00EB27D6"/>
    <w:rsid w:val="00EC7AEC"/>
    <w:rsid w:val="00EE31D0"/>
    <w:rsid w:val="00EE4101"/>
    <w:rsid w:val="00F24DB0"/>
    <w:rsid w:val="00F25F91"/>
    <w:rsid w:val="00F50E72"/>
    <w:rsid w:val="00F61314"/>
    <w:rsid w:val="00FA2A16"/>
    <w:rsid w:val="00FD17B6"/>
    <w:rsid w:val="00FE0747"/>
    <w:rsid w:val="00FE313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95DDE00"/>
  <w15:docId w15:val="{B38D6DFE-C7AC-4E0B-BCD3-6F2A445DBC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a">
    <w:name w:val="Normal"/>
    <w:qFormat/>
    <w:pPr>
      <w:widowControl w:val="0"/>
    </w:pPr>
    <w:rPr>
      <w:kern w:val="2"/>
      <w:szCs w:val="24"/>
    </w:rPr>
  </w:style>
  <w:style w:type="paragraph" w:styleId="1">
    <w:name w:val="heading 1"/>
    <w:basedOn w:val="a"/>
    <w:next w:val="a"/>
    <w:qFormat/>
    <w:rsid w:val="00C564DD"/>
    <w:pPr>
      <w:keepNext/>
      <w:adjustRightInd w:val="0"/>
      <w:snapToGrid w:val="0"/>
      <w:spacing w:beforeLines="30" w:before="108" w:afterLines="30" w:after="108"/>
      <w:outlineLvl w:val="0"/>
    </w:pPr>
    <w:rPr>
      <w:rFonts w:ascii="Arial" w:hAnsi="Arial"/>
      <w:b/>
      <w:bCs/>
      <w:color w:val="000080"/>
      <w:kern w:val="52"/>
      <w:szCs w:val="52"/>
    </w:rPr>
  </w:style>
  <w:style w:type="paragraph" w:styleId="2">
    <w:name w:val="heading 2"/>
    <w:basedOn w:val="a"/>
    <w:next w:val="a"/>
    <w:link w:val="20"/>
    <w:uiPriority w:val="9"/>
    <w:unhideWhenUsed/>
    <w:qFormat/>
    <w:rsid w:val="00AF782C"/>
    <w:pPr>
      <w:keepNext/>
      <w:adjustRightInd w:val="0"/>
      <w:snapToGrid w:val="0"/>
      <w:spacing w:beforeLines="30" w:before="108" w:afterLines="30" w:after="108"/>
      <w:outlineLvl w:val="1"/>
    </w:pPr>
    <w:rPr>
      <w:rFonts w:ascii="Arial Unicode MS" w:hAnsi="Arial Unicode MS" w:cs="Arial Unicode MS"/>
      <w:b/>
      <w:bCs/>
      <w:color w:val="990000"/>
      <w:szCs w:val="48"/>
    </w:rPr>
  </w:style>
  <w:style w:type="paragraph" w:styleId="3">
    <w:name w:val="heading 3"/>
    <w:basedOn w:val="a"/>
    <w:next w:val="a"/>
    <w:link w:val="30"/>
    <w:unhideWhenUsed/>
    <w:qFormat/>
    <w:rsid w:val="000C7574"/>
    <w:pPr>
      <w:widowControl/>
      <w:adjustRightInd w:val="0"/>
      <w:snapToGrid w:val="0"/>
      <w:ind w:leftChars="59" w:left="118"/>
      <w:outlineLvl w:val="2"/>
    </w:pPr>
    <w:rPr>
      <w:rFonts w:ascii="Arial Unicode MS" w:hAnsi="Arial Unicode MS" w:cs="Arial Unicode MS"/>
      <w:bCs/>
      <w:color w:val="808000"/>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a5">
    <w:name w:val="header"/>
    <w:basedOn w:val="a"/>
    <w:pPr>
      <w:tabs>
        <w:tab w:val="center" w:pos="4153"/>
        <w:tab w:val="right" w:pos="8306"/>
      </w:tabs>
      <w:snapToGrid w:val="0"/>
    </w:pPr>
    <w:rPr>
      <w:szCs w:val="20"/>
    </w:rPr>
  </w:style>
  <w:style w:type="paragraph" w:styleId="a6">
    <w:name w:val="footer"/>
    <w:basedOn w:val="a"/>
    <w:pPr>
      <w:tabs>
        <w:tab w:val="center" w:pos="4153"/>
        <w:tab w:val="right" w:pos="8306"/>
      </w:tabs>
      <w:snapToGrid w:val="0"/>
    </w:pPr>
    <w:rPr>
      <w:szCs w:val="20"/>
    </w:rPr>
  </w:style>
  <w:style w:type="character" w:styleId="a7">
    <w:name w:val="page number"/>
    <w:basedOn w:val="a0"/>
  </w:style>
  <w:style w:type="character" w:customStyle="1" w:styleId="20">
    <w:name w:val="標題 2 字元"/>
    <w:link w:val="2"/>
    <w:uiPriority w:val="9"/>
    <w:rsid w:val="00AF782C"/>
    <w:rPr>
      <w:rFonts w:ascii="Arial Unicode MS" w:hAnsi="Arial Unicode MS" w:cs="Arial Unicode MS"/>
      <w:b/>
      <w:bCs/>
      <w:color w:val="990000"/>
      <w:kern w:val="2"/>
      <w:szCs w:val="48"/>
    </w:rPr>
  </w:style>
  <w:style w:type="paragraph" w:styleId="a8">
    <w:name w:val="Document Map"/>
    <w:basedOn w:val="a"/>
    <w:link w:val="a9"/>
    <w:rsid w:val="00464EE7"/>
    <w:rPr>
      <w:rFonts w:ascii="新細明體" w:hAnsi="新細明體"/>
      <w:szCs w:val="18"/>
    </w:rPr>
  </w:style>
  <w:style w:type="character" w:customStyle="1" w:styleId="a9">
    <w:name w:val="文件引導模式 字元"/>
    <w:link w:val="a8"/>
    <w:rsid w:val="00464EE7"/>
    <w:rPr>
      <w:rFonts w:ascii="新細明體" w:hAnsi="新細明體"/>
      <w:kern w:val="2"/>
      <w:szCs w:val="18"/>
    </w:rPr>
  </w:style>
  <w:style w:type="paragraph" w:styleId="aa">
    <w:name w:val="Balloon Text"/>
    <w:basedOn w:val="a"/>
    <w:link w:val="ab"/>
    <w:rsid w:val="00D65CA3"/>
    <w:rPr>
      <w:rFonts w:asciiTheme="majorHAnsi" w:eastAsiaTheme="majorEastAsia" w:hAnsiTheme="majorHAnsi" w:cstheme="majorBidi"/>
      <w:sz w:val="18"/>
      <w:szCs w:val="18"/>
    </w:rPr>
  </w:style>
  <w:style w:type="character" w:customStyle="1" w:styleId="ab">
    <w:name w:val="註解方塊文字 字元"/>
    <w:basedOn w:val="a0"/>
    <w:link w:val="aa"/>
    <w:rsid w:val="00D65CA3"/>
    <w:rPr>
      <w:rFonts w:asciiTheme="majorHAnsi" w:eastAsiaTheme="majorEastAsia" w:hAnsiTheme="majorHAnsi" w:cstheme="majorBidi"/>
      <w:kern w:val="2"/>
      <w:sz w:val="18"/>
      <w:szCs w:val="18"/>
    </w:rPr>
  </w:style>
  <w:style w:type="character" w:customStyle="1" w:styleId="30">
    <w:name w:val="標題 3 字元"/>
    <w:basedOn w:val="a0"/>
    <w:link w:val="3"/>
    <w:rsid w:val="000C7574"/>
    <w:rPr>
      <w:rFonts w:ascii="Arial Unicode MS" w:hAnsi="Arial Unicode MS" w:cs="Arial Unicode MS"/>
      <w:bCs/>
      <w:color w:val="808000"/>
      <w:kern w:val="2"/>
      <w:szCs w:val="36"/>
    </w:rPr>
  </w:style>
  <w:style w:type="paragraph" w:styleId="Web">
    <w:name w:val="Normal (Web)"/>
    <w:basedOn w:val="a"/>
    <w:uiPriority w:val="99"/>
    <w:unhideWhenUsed/>
    <w:rsid w:val="004277CF"/>
    <w:pPr>
      <w:widowControl/>
      <w:spacing w:before="100" w:beforeAutospacing="1" w:after="100" w:afterAutospacing="1"/>
    </w:pPr>
    <w:rPr>
      <w:rFonts w:ascii="新細明體" w:hAnsi="新細明體" w:cs="新細明體"/>
      <w:kern w:val="0"/>
      <w:sz w:val="24"/>
    </w:rPr>
  </w:style>
  <w:style w:type="character" w:styleId="ac">
    <w:name w:val="Unresolved Mention"/>
    <w:basedOn w:val="a0"/>
    <w:uiPriority w:val="99"/>
    <w:semiHidden/>
    <w:unhideWhenUsed/>
    <w:rsid w:val="0068458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7603954">
      <w:bodyDiv w:val="1"/>
      <w:marLeft w:val="0"/>
      <w:marRight w:val="0"/>
      <w:marTop w:val="0"/>
      <w:marBottom w:val="0"/>
      <w:divBdr>
        <w:top w:val="none" w:sz="0" w:space="0" w:color="auto"/>
        <w:left w:val="none" w:sz="0" w:space="0" w:color="auto"/>
        <w:bottom w:val="none" w:sz="0" w:space="0" w:color="auto"/>
        <w:right w:val="none" w:sz="0" w:space="0" w:color="auto"/>
      </w:divBdr>
    </w:div>
    <w:div w:id="1056899159">
      <w:bodyDiv w:val="1"/>
      <w:marLeft w:val="0"/>
      <w:marRight w:val="0"/>
      <w:marTop w:val="0"/>
      <w:marBottom w:val="0"/>
      <w:divBdr>
        <w:top w:val="none" w:sz="0" w:space="0" w:color="auto"/>
        <w:left w:val="none" w:sz="0" w:space="0" w:color="auto"/>
        <w:bottom w:val="none" w:sz="0" w:space="0" w:color="auto"/>
        <w:right w:val="none" w:sz="0" w:space="0" w:color="auto"/>
      </w:divBdr>
    </w:div>
    <w:div w:id="1229462041">
      <w:bodyDiv w:val="1"/>
      <w:marLeft w:val="0"/>
      <w:marRight w:val="0"/>
      <w:marTop w:val="0"/>
      <w:marBottom w:val="0"/>
      <w:divBdr>
        <w:top w:val="none" w:sz="0" w:space="0" w:color="auto"/>
        <w:left w:val="none" w:sz="0" w:space="0" w:color="auto"/>
        <w:bottom w:val="none" w:sz="0" w:space="0" w:color="auto"/>
        <w:right w:val="none" w:sz="0" w:space="0" w:color="auto"/>
      </w:divBdr>
    </w:div>
    <w:div w:id="1332442051">
      <w:bodyDiv w:val="1"/>
      <w:marLeft w:val="0"/>
      <w:marRight w:val="0"/>
      <w:marTop w:val="0"/>
      <w:marBottom w:val="0"/>
      <w:divBdr>
        <w:top w:val="none" w:sz="0" w:space="0" w:color="auto"/>
        <w:left w:val="none" w:sz="0" w:space="0" w:color="auto"/>
        <w:bottom w:val="none" w:sz="0" w:space="0" w:color="auto"/>
        <w:right w:val="none" w:sz="0" w:space="0" w:color="auto"/>
      </w:divBdr>
    </w:div>
    <w:div w:id="2038383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6laws.net/update.htm" TargetMode="External"/><Relationship Id="rId13" Type="http://schemas.openxmlformats.org/officeDocument/2006/relationships/hyperlink" Target="../law/&#21214;&#36039;&#29229;&#35696;&#34389;&#29702;&#27861;.docx" TargetMode="External"/><Relationship Id="rId18" Type="http://schemas.openxmlformats.org/officeDocument/2006/relationships/hyperlink" Target="https://www.6laws.net/comment.htm" TargetMode="Externa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law/&#21214;&#36039;&#29229;&#35696;&#34389;&#29702;&#27861;.docx" TargetMode="External"/><Relationship Id="rId17" Type="http://schemas.openxmlformats.org/officeDocument/2006/relationships/hyperlink" Target="../law3/&#21214;&#36039;&#29229;&#35696;&#35519;&#35299;&#36774;&#27861;.docx" TargetMode="External"/><Relationship Id="rId2" Type="http://schemas.openxmlformats.org/officeDocument/2006/relationships/settings" Target="settings.xml"/><Relationship Id="rId16" Type="http://schemas.openxmlformats.org/officeDocument/2006/relationships/hyperlink" Target="../law/&#21214;&#36039;&#29229;&#35696;&#34389;&#29702;&#27861;.docx" TargetMode="External"/><Relationship Id="rId20" Type="http://schemas.openxmlformats.org/officeDocument/2006/relationships/footer" Target="footer2.xml"/><Relationship Id="rId1" Type="http://schemas.openxmlformats.org/officeDocument/2006/relationships/styles" Target="styles.xml"/><Relationship Id="rId6" Type="http://schemas.openxmlformats.org/officeDocument/2006/relationships/hyperlink" Target="https://www.6laws.net/" TargetMode="External"/><Relationship Id="rId11" Type="http://schemas.openxmlformats.org/officeDocument/2006/relationships/hyperlink" Target="https://www.6laws.net/6law/law3/&#20027;&#31649;&#27231;&#38364;&#22519;&#34892;&#21214;&#36039;&#29229;&#35696;&#35519;&#35299;&#27880;&#24847;&#20107;&#38917;.htm" TargetMode="External"/><Relationship Id="rId5" Type="http://schemas.openxmlformats.org/officeDocument/2006/relationships/endnotes" Target="endnotes.xml"/><Relationship Id="rId15" Type="http://schemas.openxmlformats.org/officeDocument/2006/relationships/hyperlink" Target="../law/&#21214;&#36039;&#29229;&#35696;&#34389;&#29702;&#27861;.docx" TargetMode="External"/><Relationship Id="rId10" Type="http://schemas.openxmlformats.org/officeDocument/2006/relationships/hyperlink" Target="../S-link&#20998;&#39006;&#27861;&#35215;&#32034;&#24341;.docx" TargetMode="External"/><Relationship Id="rId19"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yperlink" Target="https://www.facebook.com/anita6law" TargetMode="External"/><Relationship Id="rId14" Type="http://schemas.openxmlformats.org/officeDocument/2006/relationships/hyperlink" Target="../law/&#21214;&#36039;&#29229;&#35696;&#34389;&#29702;&#27861;.docx" TargetMode="External"/><Relationship Id="rId22"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336</Words>
  <Characters>1919</Characters>
  <Application>Microsoft Office Word</Application>
  <DocSecurity>0</DocSecurity>
  <Lines>15</Lines>
  <Paragraphs>4</Paragraphs>
  <ScaleCrop>false</ScaleCrop>
  <Company/>
  <LinksUpToDate>false</LinksUpToDate>
  <CharactersWithSpaces>2251</CharactersWithSpaces>
  <SharedDoc>false</SharedDoc>
  <HLinks>
    <vt:vector size="108" baseType="variant">
      <vt:variant>
        <vt:i4>2949124</vt:i4>
      </vt:variant>
      <vt:variant>
        <vt:i4>51</vt:i4>
      </vt:variant>
      <vt:variant>
        <vt:i4>0</vt:i4>
      </vt:variant>
      <vt:variant>
        <vt:i4>5</vt:i4>
      </vt:variant>
      <vt:variant>
        <vt:lpwstr>mailto:anita399646@hotmail.com</vt:lpwstr>
      </vt:variant>
      <vt:variant>
        <vt:lpwstr/>
      </vt:variant>
      <vt:variant>
        <vt:i4>8192049</vt:i4>
      </vt:variant>
      <vt:variant>
        <vt:i4>48</vt:i4>
      </vt:variant>
      <vt:variant>
        <vt:i4>0</vt:i4>
      </vt:variant>
      <vt:variant>
        <vt:i4>5</vt:i4>
      </vt:variant>
      <vt:variant>
        <vt:lpwstr>http://law.moj.gov.tw/</vt:lpwstr>
      </vt:variant>
      <vt:variant>
        <vt:lpwstr/>
      </vt:variant>
      <vt:variant>
        <vt:i4>6225996</vt:i4>
      </vt:variant>
      <vt:variant>
        <vt:i4>45</vt:i4>
      </vt:variant>
      <vt:variant>
        <vt:i4>0</vt:i4>
      </vt:variant>
      <vt:variant>
        <vt:i4>5</vt:i4>
      </vt:variant>
      <vt:variant>
        <vt:lpwstr>http://www.ly.gov.tw/</vt:lpwstr>
      </vt:variant>
      <vt:variant>
        <vt:lpwstr/>
      </vt:variant>
      <vt:variant>
        <vt:i4>786499</vt:i4>
      </vt:variant>
      <vt:variant>
        <vt:i4>42</vt:i4>
      </vt:variant>
      <vt:variant>
        <vt:i4>0</vt:i4>
      </vt:variant>
      <vt:variant>
        <vt:i4>5</vt:i4>
      </vt:variant>
      <vt:variant>
        <vt:lpwstr>http://www.president.gov.tw/</vt:lpwstr>
      </vt:variant>
      <vt:variant>
        <vt:lpwstr/>
      </vt:variant>
      <vt:variant>
        <vt:i4>7274612</vt:i4>
      </vt:variant>
      <vt:variant>
        <vt:i4>38</vt:i4>
      </vt:variant>
      <vt:variant>
        <vt:i4>0</vt:i4>
      </vt:variant>
      <vt:variant>
        <vt:i4>5</vt:i4>
      </vt:variant>
      <vt:variant>
        <vt:lpwstr/>
      </vt:variant>
      <vt:variant>
        <vt:lpwstr>top</vt:lpwstr>
      </vt:variant>
      <vt:variant>
        <vt:i4>7274612</vt:i4>
      </vt:variant>
      <vt:variant>
        <vt:i4>36</vt:i4>
      </vt:variant>
      <vt:variant>
        <vt:i4>0</vt:i4>
      </vt:variant>
      <vt:variant>
        <vt:i4>5</vt:i4>
      </vt:variant>
      <vt:variant>
        <vt:lpwstr/>
      </vt:variant>
      <vt:variant>
        <vt:lpwstr>top</vt:lpwstr>
      </vt:variant>
      <vt:variant>
        <vt:i4>-1593185076</vt:i4>
      </vt:variant>
      <vt:variant>
        <vt:i4>33</vt:i4>
      </vt:variant>
      <vt:variant>
        <vt:i4>0</vt:i4>
      </vt:variant>
      <vt:variant>
        <vt:i4>5</vt:i4>
      </vt:variant>
      <vt:variant>
        <vt:lpwstr>..\law\國民體育法.doc</vt:lpwstr>
      </vt:variant>
      <vt:variant>
        <vt:lpwstr>a16</vt:lpwstr>
      </vt:variant>
      <vt:variant>
        <vt:i4>-1593185076</vt:i4>
      </vt:variant>
      <vt:variant>
        <vt:i4>30</vt:i4>
      </vt:variant>
      <vt:variant>
        <vt:i4>0</vt:i4>
      </vt:variant>
      <vt:variant>
        <vt:i4>5</vt:i4>
      </vt:variant>
      <vt:variant>
        <vt:lpwstr>..\law\國民體育法.doc</vt:lpwstr>
      </vt:variant>
      <vt:variant>
        <vt:lpwstr>a18</vt:lpwstr>
      </vt:variant>
      <vt:variant>
        <vt:i4>-1593185076</vt:i4>
      </vt:variant>
      <vt:variant>
        <vt:i4>27</vt:i4>
      </vt:variant>
      <vt:variant>
        <vt:i4>0</vt:i4>
      </vt:variant>
      <vt:variant>
        <vt:i4>5</vt:i4>
      </vt:variant>
      <vt:variant>
        <vt:lpwstr>..\law\國民體育法.doc</vt:lpwstr>
      </vt:variant>
      <vt:variant>
        <vt:lpwstr>a11</vt:lpwstr>
      </vt:variant>
      <vt:variant>
        <vt:i4>-1593185076</vt:i4>
      </vt:variant>
      <vt:variant>
        <vt:i4>24</vt:i4>
      </vt:variant>
      <vt:variant>
        <vt:i4>0</vt:i4>
      </vt:variant>
      <vt:variant>
        <vt:i4>5</vt:i4>
      </vt:variant>
      <vt:variant>
        <vt:lpwstr>..\law\國民體育法.doc</vt:lpwstr>
      </vt:variant>
      <vt:variant>
        <vt:lpwstr>a10</vt:lpwstr>
      </vt:variant>
      <vt:variant>
        <vt:i4>-1593774900</vt:i4>
      </vt:variant>
      <vt:variant>
        <vt:i4>21</vt:i4>
      </vt:variant>
      <vt:variant>
        <vt:i4>0</vt:i4>
      </vt:variant>
      <vt:variant>
        <vt:i4>5</vt:i4>
      </vt:variant>
      <vt:variant>
        <vt:lpwstr>..\law\國民體育法.doc</vt:lpwstr>
      </vt:variant>
      <vt:variant>
        <vt:lpwstr>a8</vt:lpwstr>
      </vt:variant>
      <vt:variant>
        <vt:i4>-1593054004</vt:i4>
      </vt:variant>
      <vt:variant>
        <vt:i4>18</vt:i4>
      </vt:variant>
      <vt:variant>
        <vt:i4>0</vt:i4>
      </vt:variant>
      <vt:variant>
        <vt:i4>5</vt:i4>
      </vt:variant>
      <vt:variant>
        <vt:lpwstr>..\law\國民體育法.doc</vt:lpwstr>
      </vt:variant>
      <vt:variant>
        <vt:lpwstr>a3</vt:lpwstr>
      </vt:variant>
      <vt:variant>
        <vt:i4>-1593119540</vt:i4>
      </vt:variant>
      <vt:variant>
        <vt:i4>15</vt:i4>
      </vt:variant>
      <vt:variant>
        <vt:i4>0</vt:i4>
      </vt:variant>
      <vt:variant>
        <vt:i4>5</vt:i4>
      </vt:variant>
      <vt:variant>
        <vt:lpwstr>..\law\國民體育法.doc</vt:lpwstr>
      </vt:variant>
      <vt:variant>
        <vt:lpwstr>a21</vt:lpwstr>
      </vt:variant>
      <vt:variant>
        <vt:i4>2067919956</vt:i4>
      </vt:variant>
      <vt:variant>
        <vt:i4>12</vt:i4>
      </vt:variant>
      <vt:variant>
        <vt:i4>0</vt:i4>
      </vt:variant>
      <vt:variant>
        <vt:i4>5</vt:i4>
      </vt:variant>
      <vt:variant>
        <vt:lpwstr>http://www.6law.idv.tw/6law/law3/國民體育法施行細則.htm</vt:lpwstr>
      </vt:variant>
      <vt:variant>
        <vt:lpwstr/>
      </vt:variant>
      <vt:variant>
        <vt:i4>-421115192</vt:i4>
      </vt:variant>
      <vt:variant>
        <vt:i4>9</vt:i4>
      </vt:variant>
      <vt:variant>
        <vt:i4>0</vt:i4>
      </vt:variant>
      <vt:variant>
        <vt:i4>5</vt:i4>
      </vt:variant>
      <vt:variant>
        <vt:lpwstr>../S-link電子六法總索引.doc</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主管機關執行勞資爭議調解注意事項(原:各級勞工行政主管機關辦理勞資爭議事件應行注意事項)</dc:title>
  <dc:creator>S-link 電子六法-黃婉玲</dc:creator>
  <cp:lastModifiedBy>黃婉玲 S-link電子六法</cp:lastModifiedBy>
  <cp:revision>11</cp:revision>
  <dcterms:created xsi:type="dcterms:W3CDTF">2019-11-18T14:31:00Z</dcterms:created>
  <dcterms:modified xsi:type="dcterms:W3CDTF">2019-11-18T17:32:00Z</dcterms:modified>
</cp:coreProperties>
</file>