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CB0B" w14:textId="07CBFB03" w:rsidR="008026D4" w:rsidRPr="00365472" w:rsidRDefault="001113B5" w:rsidP="008026D4">
      <w:pPr>
        <w:adjustRightInd w:val="0"/>
        <w:snapToGrid w:val="0"/>
        <w:ind w:rightChars="8" w:right="16"/>
        <w:jc w:val="right"/>
        <w:rPr>
          <w:rFonts w:ascii="微軟正黑體" w:eastAsia="微軟正黑體" w:hAnsi="微軟正黑體"/>
        </w:rPr>
      </w:pPr>
      <w:hyperlink r:id="rId7" w:history="1">
        <w:r w:rsidRPr="00365472">
          <w:rPr>
            <w:rFonts w:ascii="微軟正黑體" w:eastAsia="微軟正黑體" w:hAnsi="微軟正黑體"/>
            <w:noProof/>
            <w:color w:val="5F5F5F"/>
            <w:sz w:val="18"/>
            <w:szCs w:val="20"/>
            <w:lang w:val="zh-TW"/>
          </w:rPr>
          <w:pict w14:anchorId="4BF8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4" type="#_x0000_t75" alt="一張含有 美工圖案 的圖片&#10;&#10;自動產生的描述" href="https://www.6laws.net/" style="width:33.1pt;height:33.1pt;visibility:visible;mso-wrap-style:square" o:button="t">
              <v:fill o:detectmouseclick="t"/>
              <v:imagedata r:id="rId8" o:title="一張含有 美工圖案 的圖片&#10;&#10;自動產生的描述"/>
            </v:shape>
          </w:pict>
        </w:r>
      </w:hyperlink>
    </w:p>
    <w:p w14:paraId="37713BD7" w14:textId="133E82DD" w:rsidR="008026D4" w:rsidRPr="00365472" w:rsidRDefault="008026D4" w:rsidP="008026D4">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365472">
        <w:rPr>
          <w:rFonts w:ascii="微軟正黑體" w:eastAsia="微軟正黑體" w:hAnsi="微軟正黑體" w:hint="eastAsia"/>
          <w:color w:val="5F5F5F"/>
          <w:sz w:val="18"/>
          <w:szCs w:val="20"/>
          <w:lang w:val="zh-TW"/>
        </w:rPr>
        <w:t>【</w:t>
      </w:r>
      <w:hyperlink r:id="rId9" w:tgtFrame="_blank" w:history="1">
        <w:r w:rsidRPr="00365472">
          <w:rPr>
            <w:rStyle w:val="a3"/>
            <w:rFonts w:ascii="微軟正黑體" w:eastAsia="微軟正黑體" w:hAnsi="微軟正黑體"/>
            <w:color w:val="5F5F5F"/>
            <w:sz w:val="18"/>
            <w:szCs w:val="20"/>
          </w:rPr>
          <w:t>更新</w:t>
        </w:r>
      </w:hyperlink>
      <w:r w:rsidRPr="00365472">
        <w:rPr>
          <w:rFonts w:ascii="微軟正黑體" w:eastAsia="微軟正黑體" w:hAnsi="微軟正黑體" w:hint="eastAsia"/>
          <w:color w:val="7F7F7F"/>
          <w:sz w:val="18"/>
          <w:szCs w:val="20"/>
          <w:lang w:val="zh-TW"/>
        </w:rPr>
        <w:t>】</w:t>
      </w:r>
      <w:bookmarkStart w:id="1" w:name="_Hlk98861106"/>
      <w:r w:rsidR="00CE1E7E" w:rsidRPr="005F2503">
        <w:rPr>
          <w:rFonts w:ascii="Segoe UI Emoji" w:eastAsia="微軟正黑體" w:hAnsi="Segoe UI Emoji" w:cs="Segoe UI Emoji"/>
          <w:kern w:val="0"/>
          <w:sz w:val="18"/>
        </w:rPr>
        <w:t>⏰</w:t>
      </w:r>
      <w:bookmarkEnd w:id="1"/>
      <w:r w:rsidR="00F26212" w:rsidRPr="00CE1E7E">
        <w:rPr>
          <w:sz w:val="18"/>
        </w:rPr>
        <w:t>2022/4/2</w:t>
      </w:r>
      <w:r w:rsidRPr="00365472">
        <w:rPr>
          <w:rFonts w:ascii="微軟正黑體" w:eastAsia="微軟正黑體" w:hAnsi="微軟正黑體" w:hint="eastAsia"/>
          <w:color w:val="7F7F7F"/>
          <w:sz w:val="18"/>
          <w:szCs w:val="20"/>
          <w:lang w:val="zh-TW"/>
        </w:rPr>
        <w:t>【</w:t>
      </w:r>
      <w:r w:rsidRPr="00365472">
        <w:rPr>
          <w:rFonts w:ascii="微軟正黑體" w:eastAsia="微軟正黑體" w:hAnsi="微軟正黑體" w:hint="eastAsia"/>
          <w:color w:val="7F7F7F"/>
          <w:sz w:val="18"/>
          <w:szCs w:val="20"/>
        </w:rPr>
        <w:t>編輯著作權者</w:t>
      </w:r>
      <w:r w:rsidRPr="00365472">
        <w:rPr>
          <w:rFonts w:ascii="微軟正黑體" w:eastAsia="微軟正黑體" w:hAnsi="微軟正黑體" w:hint="eastAsia"/>
          <w:color w:val="7F7F7F"/>
          <w:sz w:val="18"/>
          <w:szCs w:val="20"/>
          <w:lang w:val="zh-TW"/>
        </w:rPr>
        <w:t>】</w:t>
      </w:r>
      <w:hyperlink r:id="rId10" w:tgtFrame="_blank" w:history="1">
        <w:r w:rsidRPr="00365472">
          <w:rPr>
            <w:rStyle w:val="a3"/>
            <w:rFonts w:ascii="微軟正黑體" w:eastAsia="微軟正黑體" w:hAnsi="微軟正黑體"/>
            <w:color w:val="7F7F7F"/>
            <w:sz w:val="18"/>
            <w:szCs w:val="20"/>
          </w:rPr>
          <w:t>黃婉玲</w:t>
        </w:r>
      </w:hyperlink>
    </w:p>
    <w:p w14:paraId="0E116E97" w14:textId="37C6AB5B" w:rsidR="008026D4" w:rsidRPr="00365472" w:rsidRDefault="001113B5" w:rsidP="008026D4">
      <w:pPr>
        <w:adjustRightInd w:val="0"/>
        <w:snapToGrid w:val="0"/>
        <w:jc w:val="right"/>
        <w:rPr>
          <w:rFonts w:ascii="微軟正黑體" w:eastAsia="微軟正黑體" w:hAnsi="微軟正黑體"/>
          <w:color w:val="808000"/>
          <w:sz w:val="18"/>
          <w:szCs w:val="20"/>
        </w:rPr>
      </w:pPr>
      <w:bookmarkStart w:id="2" w:name="_Hlk73037927"/>
      <w:r w:rsidRPr="00365472">
        <w:rPr>
          <w:rFonts w:ascii="微軟正黑體" w:eastAsia="微軟正黑體" w:hAnsi="微軟正黑體" w:hint="eastAsia"/>
          <w:color w:val="5F5F5F"/>
          <w:sz w:val="18"/>
          <w:szCs w:val="20"/>
        </w:rPr>
        <w:t>（建議使用工具列--〉檢視--〉文件引導模式</w:t>
      </w:r>
      <w:bookmarkStart w:id="3" w:name="_Hlk98860402"/>
      <w:r w:rsidRPr="00365472">
        <w:rPr>
          <w:rFonts w:ascii="微軟正黑體" w:eastAsia="微軟正黑體" w:hAnsi="微軟正黑體" w:hint="eastAsia"/>
          <w:color w:val="5F5F5F"/>
          <w:sz w:val="18"/>
          <w:szCs w:val="20"/>
        </w:rPr>
        <w:t>/</w:t>
      </w:r>
      <w:hyperlink r:id="rId11" w:history="1">
        <w:r w:rsidRPr="00365472">
          <w:rPr>
            <w:rStyle w:val="a3"/>
            <w:rFonts w:ascii="微軟正黑體" w:eastAsia="微軟正黑體" w:hAnsi="微軟正黑體" w:hint="eastAsia"/>
            <w:color w:val="5F5F5F"/>
            <w:sz w:val="18"/>
            <w:szCs w:val="20"/>
            <w:u w:val="none"/>
          </w:rPr>
          <w:t>功能窗格</w:t>
        </w:r>
      </w:hyperlink>
      <w:bookmarkEnd w:id="3"/>
      <w:r w:rsidRPr="00365472">
        <w:rPr>
          <w:rFonts w:ascii="微軟正黑體" w:eastAsia="微軟正黑體" w:hAnsi="微軟正黑體" w:hint="eastAsia"/>
          <w:color w:val="5F5F5F"/>
          <w:sz w:val="18"/>
          <w:szCs w:val="20"/>
        </w:rPr>
        <w:t>）</w:t>
      </w:r>
      <w:bookmarkEnd w:id="2"/>
    </w:p>
    <w:p w14:paraId="4DCC5545" w14:textId="44CD6D6E" w:rsidR="008026D4" w:rsidRPr="00365472" w:rsidRDefault="008026D4" w:rsidP="008026D4">
      <w:pPr>
        <w:adjustRightInd w:val="0"/>
        <w:snapToGrid w:val="0"/>
        <w:jc w:val="right"/>
        <w:rPr>
          <w:rFonts w:ascii="微軟正黑體" w:eastAsia="微軟正黑體" w:hAnsi="微軟正黑體"/>
          <w:color w:val="808000"/>
          <w:sz w:val="18"/>
          <w:szCs w:val="20"/>
        </w:rPr>
      </w:pPr>
      <w:r w:rsidRPr="00365472">
        <w:rPr>
          <w:rFonts w:ascii="微軟正黑體" w:eastAsia="微軟正黑體" w:hAnsi="微軟正黑體" w:hint="eastAsia"/>
          <w:color w:val="FFFFFF"/>
          <w:sz w:val="18"/>
        </w:rPr>
        <w:t>‧</w:t>
      </w:r>
      <w:hyperlink r:id="rId12" w:history="1">
        <w:r w:rsidRPr="00365472">
          <w:rPr>
            <w:rStyle w:val="a3"/>
            <w:rFonts w:ascii="微軟正黑體" w:eastAsia="微軟正黑體" w:hAnsi="微軟正黑體" w:hint="eastAsia"/>
            <w:sz w:val="18"/>
          </w:rPr>
          <w:t>S-link總索引</w:t>
        </w:r>
      </w:hyperlink>
      <w:r w:rsidR="00194770" w:rsidRPr="00365472">
        <w:rPr>
          <w:rFonts w:ascii="微軟正黑體" w:eastAsia="微軟正黑體" w:hAnsi="微軟正黑體" w:hint="eastAsia"/>
          <w:b/>
          <w:color w:val="808000"/>
          <w:sz w:val="18"/>
        </w:rPr>
        <w:t>〉〉</w:t>
      </w:r>
      <w:hyperlink r:id="rId13" w:anchor="中華人民共和國反洗錢法" w:history="1">
        <w:r w:rsidR="00F26212">
          <w:rPr>
            <w:rStyle w:val="a3"/>
            <w:rFonts w:ascii="微軟正黑體" w:eastAsia="微軟正黑體" w:hAnsi="微軟正黑體" w:hint="eastAsia"/>
            <w:sz w:val="18"/>
          </w:rPr>
          <w:t>S-link中國法律法規索引</w:t>
        </w:r>
      </w:hyperlink>
      <w:r w:rsidR="00194770" w:rsidRPr="00365472">
        <w:rPr>
          <w:rFonts w:ascii="微軟正黑體" w:eastAsia="微軟正黑體" w:hAnsi="微軟正黑體" w:hint="eastAsia"/>
          <w:b/>
          <w:color w:val="5F5F5F"/>
          <w:sz w:val="18"/>
        </w:rPr>
        <w:t>〉〉</w:t>
      </w:r>
      <w:hyperlink r:id="rId14" w:tgtFrame="_blank" w:history="1">
        <w:r w:rsidRPr="00365472">
          <w:rPr>
            <w:rStyle w:val="a3"/>
            <w:rFonts w:ascii="微軟正黑體" w:eastAsia="微軟正黑體" w:hAnsi="微軟正黑體" w:hint="eastAsia"/>
            <w:sz w:val="18"/>
          </w:rPr>
          <w:t>線上網頁版</w:t>
        </w:r>
      </w:hyperlink>
      <w:r w:rsidR="00194770" w:rsidRPr="00365472">
        <w:rPr>
          <w:rFonts w:ascii="微軟正黑體" w:eastAsia="微軟正黑體" w:hAnsi="微軟正黑體" w:hint="eastAsia"/>
          <w:b/>
          <w:color w:val="5F5F5F"/>
          <w:sz w:val="18"/>
        </w:rPr>
        <w:t>〉〉</w:t>
      </w:r>
    </w:p>
    <w:p w14:paraId="29F3208C" w14:textId="77777777" w:rsidR="00194770" w:rsidRPr="00365472" w:rsidRDefault="00194770" w:rsidP="008026D4">
      <w:pPr>
        <w:ind w:leftChars="59" w:left="118"/>
        <w:jc w:val="both"/>
        <w:rPr>
          <w:rFonts w:ascii="微軟正黑體" w:eastAsia="微軟正黑體" w:hAnsi="微軟正黑體"/>
          <w:b/>
          <w:color w:val="993300"/>
          <w:szCs w:val="20"/>
        </w:rPr>
      </w:pPr>
    </w:p>
    <w:p w14:paraId="32F01DAC" w14:textId="6D5DF860" w:rsidR="002A00C9" w:rsidRPr="00365472" w:rsidRDefault="00365472" w:rsidP="00365472">
      <w:pPr>
        <w:ind w:left="142"/>
        <w:rPr>
          <w:rFonts w:ascii="微軟正黑體" w:eastAsia="微軟正黑體" w:hAnsi="微軟正黑體"/>
          <w:color w:val="000000"/>
        </w:rPr>
      </w:pPr>
      <w:bookmarkStart w:id="4" w:name="_Hlk90940362"/>
      <w:r w:rsidRPr="00365472">
        <w:rPr>
          <w:rFonts w:ascii="微軟正黑體" w:eastAsia="微軟正黑體" w:hAnsi="微軟正黑體" w:hint="eastAsia"/>
          <w:b/>
          <w:color w:val="990000"/>
        </w:rPr>
        <w:t>【</w:t>
      </w:r>
      <w:bookmarkStart w:id="5" w:name="_Hlk73057892"/>
      <w:r w:rsidRPr="00365472">
        <w:rPr>
          <w:rFonts w:ascii="微軟正黑體" w:eastAsia="微軟正黑體" w:hAnsi="微軟正黑體" w:hint="eastAsia"/>
          <w:b/>
          <w:color w:val="990000"/>
        </w:rPr>
        <w:t>法律法規</w:t>
      </w:r>
      <w:bookmarkEnd w:id="5"/>
      <w:r w:rsidRPr="00365472">
        <w:rPr>
          <w:rFonts w:ascii="微軟正黑體" w:eastAsia="微軟正黑體" w:hAnsi="微軟正黑體" w:hint="eastAsia"/>
          <w:b/>
          <w:color w:val="990000"/>
        </w:rPr>
        <w:t>】</w:t>
      </w:r>
      <w:bookmarkEnd w:id="4"/>
      <w:r w:rsidR="00F46839" w:rsidRPr="00365472">
        <w:rPr>
          <w:rFonts w:ascii="微軟正黑體" w:eastAsia="微軟正黑體" w:hAnsi="微軟正黑體" w:hint="eastAsia"/>
          <w:shadow/>
          <w:color w:val="000000"/>
          <w:sz w:val="32"/>
          <w:szCs w:val="22"/>
        </w:rPr>
        <w:t>中華人民共和國反洗錢法</w:t>
      </w:r>
    </w:p>
    <w:p w14:paraId="40AF0EA6" w14:textId="18CC1CEB" w:rsidR="002A00C9" w:rsidRPr="00365472" w:rsidRDefault="002A00C9" w:rsidP="008026D4">
      <w:pPr>
        <w:tabs>
          <w:tab w:val="num" w:pos="960"/>
        </w:tabs>
        <w:ind w:leftChars="59" w:left="318" w:hangingChars="100" w:hanging="200"/>
        <w:rPr>
          <w:rFonts w:ascii="微軟正黑體" w:eastAsia="微軟正黑體" w:hAnsi="微軟正黑體"/>
          <w:color w:val="800000"/>
        </w:rPr>
      </w:pPr>
      <w:r w:rsidRPr="00365472">
        <w:rPr>
          <w:rFonts w:ascii="微軟正黑體" w:eastAsia="微軟正黑體" w:hAnsi="微軟正黑體"/>
          <w:b/>
          <w:bCs/>
          <w:color w:val="990000"/>
        </w:rPr>
        <w:t>【</w:t>
      </w:r>
      <w:r w:rsidRPr="00365472">
        <w:rPr>
          <w:rFonts w:ascii="微軟正黑體" w:eastAsia="微軟正黑體" w:hAnsi="微軟正黑體" w:hint="eastAsia"/>
          <w:b/>
          <w:bCs/>
          <w:color w:val="990000"/>
        </w:rPr>
        <w:t>發布單位</w:t>
      </w:r>
      <w:r w:rsidRPr="00365472">
        <w:rPr>
          <w:rFonts w:ascii="微軟正黑體" w:eastAsia="微軟正黑體" w:hAnsi="微軟正黑體"/>
          <w:b/>
          <w:bCs/>
          <w:color w:val="990000"/>
        </w:rPr>
        <w:t>】</w:t>
      </w:r>
      <w:r w:rsidR="00B96031" w:rsidRPr="00365472">
        <w:rPr>
          <w:rFonts w:ascii="微軟正黑體" w:eastAsia="微軟正黑體" w:hAnsi="微軟正黑體" w:hint="eastAsia"/>
          <w:sz w:val="18"/>
        </w:rPr>
        <w:t>全國人民代表大會常務委員會</w:t>
      </w:r>
    </w:p>
    <w:p w14:paraId="16D1D4DE" w14:textId="2AF1A29A" w:rsidR="002A00C9" w:rsidRPr="00365472" w:rsidRDefault="00365472" w:rsidP="008026D4">
      <w:pPr>
        <w:tabs>
          <w:tab w:val="num" w:pos="960"/>
        </w:tabs>
        <w:ind w:leftChars="59" w:left="118"/>
        <w:rPr>
          <w:rFonts w:ascii="微軟正黑體" w:eastAsia="微軟正黑體" w:hAnsi="微軟正黑體"/>
          <w:color w:val="800000"/>
        </w:rPr>
      </w:pPr>
      <w:r w:rsidRPr="00365472">
        <w:rPr>
          <w:rFonts w:ascii="微軟正黑體" w:eastAsia="微軟正黑體" w:hAnsi="微軟正黑體" w:hint="eastAsia"/>
          <w:b/>
          <w:color w:val="990000"/>
          <w:szCs w:val="20"/>
        </w:rPr>
        <w:t>【</w:t>
      </w:r>
      <w:bookmarkStart w:id="6" w:name="_Hlk48636737"/>
      <w:r w:rsidRPr="00365472">
        <w:rPr>
          <w:rFonts w:ascii="微軟正黑體" w:eastAsia="微軟正黑體" w:hAnsi="微軟正黑體" w:hint="eastAsia"/>
          <w:b/>
          <w:color w:val="990000"/>
          <w:szCs w:val="20"/>
        </w:rPr>
        <w:t>發布</w:t>
      </w:r>
      <w:r w:rsidRPr="00365472">
        <w:rPr>
          <w:rFonts w:ascii="微軟正黑體" w:eastAsia="微軟正黑體" w:hAnsi="微軟正黑體"/>
          <w:b/>
          <w:color w:val="990000"/>
          <w:szCs w:val="20"/>
        </w:rPr>
        <w:t>/</w:t>
      </w:r>
      <w:r w:rsidRPr="00365472">
        <w:rPr>
          <w:rFonts w:ascii="微軟正黑體" w:eastAsia="微軟正黑體" w:hAnsi="微軟正黑體" w:hint="eastAsia"/>
          <w:b/>
          <w:color w:val="990000"/>
          <w:szCs w:val="20"/>
        </w:rPr>
        <w:t>修正</w:t>
      </w:r>
      <w:bookmarkEnd w:id="6"/>
      <w:r w:rsidRPr="00365472">
        <w:rPr>
          <w:rFonts w:ascii="微軟正黑體" w:eastAsia="微軟正黑體" w:hAnsi="微軟正黑體" w:hint="eastAsia"/>
          <w:b/>
          <w:color w:val="990000"/>
          <w:szCs w:val="20"/>
        </w:rPr>
        <w:t>】</w:t>
      </w:r>
      <w:r w:rsidR="00A0153F" w:rsidRPr="00365472">
        <w:rPr>
          <w:rFonts w:ascii="微軟正黑體" w:eastAsia="微軟正黑體" w:hAnsi="微軟正黑體"/>
          <w:color w:val="000000"/>
        </w:rPr>
        <w:t>200</w:t>
      </w:r>
      <w:r w:rsidR="007953F2" w:rsidRPr="00365472">
        <w:rPr>
          <w:rFonts w:ascii="微軟正黑體" w:eastAsia="微軟正黑體" w:hAnsi="微軟正黑體" w:hint="eastAsia"/>
          <w:color w:val="000000"/>
        </w:rPr>
        <w:t>6</w:t>
      </w:r>
      <w:r w:rsidR="00593D8B" w:rsidRPr="00365472">
        <w:rPr>
          <w:rFonts w:ascii="微軟正黑體" w:eastAsia="微軟正黑體" w:hAnsi="微軟正黑體" w:hint="eastAsia"/>
          <w:color w:val="000000"/>
          <w:szCs w:val="18"/>
        </w:rPr>
        <w:t>年</w:t>
      </w:r>
      <w:r w:rsidR="007953F2" w:rsidRPr="00365472">
        <w:rPr>
          <w:rFonts w:ascii="微軟正黑體" w:eastAsia="微軟正黑體" w:hAnsi="微軟正黑體" w:hint="eastAsia"/>
          <w:color w:val="000000"/>
        </w:rPr>
        <w:t>10</w:t>
      </w:r>
      <w:r w:rsidR="00593D8B" w:rsidRPr="00365472">
        <w:rPr>
          <w:rFonts w:ascii="微軟正黑體" w:eastAsia="微軟正黑體" w:hAnsi="微軟正黑體" w:hint="eastAsia"/>
          <w:color w:val="000000"/>
          <w:szCs w:val="18"/>
        </w:rPr>
        <w:t>月</w:t>
      </w:r>
      <w:r w:rsidR="007953F2" w:rsidRPr="00365472">
        <w:rPr>
          <w:rFonts w:ascii="微軟正黑體" w:eastAsia="微軟正黑體" w:hAnsi="微軟正黑體" w:hint="eastAsia"/>
          <w:color w:val="000000"/>
          <w:szCs w:val="18"/>
        </w:rPr>
        <w:t>31</w:t>
      </w:r>
      <w:r w:rsidR="00593D8B" w:rsidRPr="00365472">
        <w:rPr>
          <w:rFonts w:ascii="微軟正黑體" w:eastAsia="微軟正黑體" w:hAnsi="微軟正黑體" w:hint="eastAsia"/>
          <w:color w:val="000000"/>
          <w:szCs w:val="18"/>
        </w:rPr>
        <w:t>日</w:t>
      </w:r>
    </w:p>
    <w:p w14:paraId="0AE004F8" w14:textId="77777777" w:rsidR="002A00C9" w:rsidRPr="00365472" w:rsidRDefault="002A00C9" w:rsidP="008026D4">
      <w:pPr>
        <w:ind w:leftChars="59" w:left="1518" w:hangingChars="700" w:hanging="1400"/>
        <w:rPr>
          <w:rFonts w:ascii="微軟正黑體" w:eastAsia="微軟正黑體" w:hAnsi="微軟正黑體"/>
          <w:color w:val="000000"/>
          <w:szCs w:val="18"/>
        </w:rPr>
      </w:pPr>
      <w:r w:rsidRPr="00365472">
        <w:rPr>
          <w:rFonts w:ascii="微軟正黑體" w:eastAsia="微軟正黑體" w:hAnsi="微軟正黑體"/>
          <w:b/>
          <w:bCs/>
          <w:color w:val="990000"/>
        </w:rPr>
        <w:t>【</w:t>
      </w:r>
      <w:r w:rsidRPr="00365472">
        <w:rPr>
          <w:rFonts w:ascii="微軟正黑體" w:eastAsia="微軟正黑體" w:hAnsi="微軟正黑體" w:hint="eastAsia"/>
          <w:b/>
          <w:bCs/>
          <w:color w:val="990000"/>
        </w:rPr>
        <w:t>實施日期</w:t>
      </w:r>
      <w:r w:rsidRPr="00365472">
        <w:rPr>
          <w:rFonts w:ascii="微軟正黑體" w:eastAsia="微軟正黑體" w:hAnsi="微軟正黑體"/>
          <w:b/>
          <w:bCs/>
          <w:color w:val="990000"/>
        </w:rPr>
        <w:t>】</w:t>
      </w:r>
      <w:r w:rsidR="00A0153F" w:rsidRPr="00365472">
        <w:rPr>
          <w:rFonts w:ascii="微軟正黑體" w:eastAsia="微軟正黑體" w:hAnsi="微軟正黑體"/>
          <w:color w:val="000000"/>
        </w:rPr>
        <w:t>200</w:t>
      </w:r>
      <w:r w:rsidR="007953F2" w:rsidRPr="00365472">
        <w:rPr>
          <w:rFonts w:ascii="微軟正黑體" w:eastAsia="微軟正黑體" w:hAnsi="微軟正黑體" w:hint="eastAsia"/>
          <w:color w:val="000000"/>
        </w:rPr>
        <w:t>7</w:t>
      </w:r>
      <w:r w:rsidR="00A0153F" w:rsidRPr="00365472">
        <w:rPr>
          <w:rFonts w:ascii="微軟正黑體" w:eastAsia="微軟正黑體" w:hAnsi="微軟正黑體" w:hint="eastAsia"/>
          <w:color w:val="000000"/>
          <w:szCs w:val="18"/>
        </w:rPr>
        <w:t>年</w:t>
      </w:r>
      <w:r w:rsidR="007953F2" w:rsidRPr="00365472">
        <w:rPr>
          <w:rFonts w:ascii="微軟正黑體" w:eastAsia="微軟正黑體" w:hAnsi="微軟正黑體" w:hint="eastAsia"/>
          <w:color w:val="000000"/>
        </w:rPr>
        <w:t>1</w:t>
      </w:r>
      <w:r w:rsidR="00A0153F" w:rsidRPr="00365472">
        <w:rPr>
          <w:rFonts w:ascii="微軟正黑體" w:eastAsia="微軟正黑體" w:hAnsi="微軟正黑體" w:hint="eastAsia"/>
          <w:color w:val="000000"/>
          <w:szCs w:val="18"/>
        </w:rPr>
        <w:t>月1日</w:t>
      </w:r>
    </w:p>
    <w:p w14:paraId="4F2B5A09" w14:textId="77777777" w:rsidR="00F84D95" w:rsidRPr="00365472" w:rsidRDefault="00F84D95" w:rsidP="008026D4">
      <w:pPr>
        <w:ind w:leftChars="59" w:left="1518" w:hangingChars="700" w:hanging="1400"/>
        <w:rPr>
          <w:rFonts w:ascii="微軟正黑體" w:eastAsia="微軟正黑體" w:hAnsi="微軟正黑體"/>
          <w:b/>
          <w:bCs/>
          <w:color w:val="800000"/>
          <w:szCs w:val="27"/>
          <w:lang w:val="zh-TW"/>
        </w:rPr>
      </w:pPr>
    </w:p>
    <w:p w14:paraId="4D29F119" w14:textId="77777777" w:rsidR="008B3F55" w:rsidRPr="00365472" w:rsidRDefault="001F4F28" w:rsidP="008026D4">
      <w:pPr>
        <w:pStyle w:val="1"/>
        <w:rPr>
          <w:rFonts w:ascii="微軟正黑體" w:eastAsia="微軟正黑體" w:hAnsi="微軟正黑體"/>
          <w:color w:val="800000"/>
        </w:rPr>
      </w:pPr>
      <w:r w:rsidRPr="00365472">
        <w:rPr>
          <w:rFonts w:ascii="微軟正黑體" w:eastAsia="微軟正黑體" w:hAnsi="微軟正黑體"/>
          <w:color w:val="800000"/>
        </w:rPr>
        <w:t>【</w:t>
      </w:r>
      <w:r w:rsidR="002A00C9" w:rsidRPr="00365472">
        <w:rPr>
          <w:rFonts w:ascii="微軟正黑體" w:eastAsia="微軟正黑體" w:hAnsi="微軟正黑體" w:hint="eastAsia"/>
          <w:color w:val="800000"/>
        </w:rPr>
        <w:t>法規沿革</w:t>
      </w:r>
      <w:r w:rsidR="002A00C9" w:rsidRPr="00365472">
        <w:rPr>
          <w:rFonts w:ascii="微軟正黑體" w:eastAsia="微軟正黑體" w:hAnsi="微軟正黑體"/>
          <w:color w:val="800000"/>
        </w:rPr>
        <w:t>】</w:t>
      </w:r>
    </w:p>
    <w:p w14:paraId="5D132026" w14:textId="77777777" w:rsidR="00593D8B" w:rsidRPr="00365472" w:rsidRDefault="00F84D95" w:rsidP="008026D4">
      <w:pPr>
        <w:ind w:leftChars="59" w:left="208" w:hangingChars="50" w:hanging="90"/>
        <w:jc w:val="both"/>
        <w:rPr>
          <w:rFonts w:ascii="微軟正黑體" w:eastAsia="微軟正黑體" w:hAnsi="微軟正黑體"/>
          <w:sz w:val="18"/>
          <w:szCs w:val="18"/>
        </w:rPr>
      </w:pPr>
      <w:r w:rsidRPr="00365472">
        <w:rPr>
          <w:rFonts w:ascii="微軟正黑體" w:eastAsia="微軟正黑體" w:hAnsi="微軟正黑體" w:hint="eastAsia"/>
          <w:b/>
          <w:bCs/>
          <w:sz w:val="18"/>
        </w:rPr>
        <w:t>‧</w:t>
      </w:r>
      <w:r w:rsidR="00F46839" w:rsidRPr="00365472">
        <w:rPr>
          <w:rFonts w:ascii="微軟正黑體" w:eastAsia="微軟正黑體" w:hAnsi="微軟正黑體"/>
          <w:sz w:val="18"/>
        </w:rPr>
        <w:t>2006</w:t>
      </w:r>
      <w:r w:rsidR="00F46839" w:rsidRPr="00365472">
        <w:rPr>
          <w:rFonts w:ascii="微軟正黑體" w:eastAsia="微軟正黑體" w:hAnsi="微軟正黑體" w:hint="eastAsia"/>
          <w:sz w:val="18"/>
        </w:rPr>
        <w:t>年</w:t>
      </w:r>
      <w:r w:rsidR="00F46839" w:rsidRPr="00365472">
        <w:rPr>
          <w:rFonts w:ascii="微軟正黑體" w:eastAsia="微軟正黑體" w:hAnsi="微軟正黑體"/>
          <w:sz w:val="18"/>
        </w:rPr>
        <w:t>10</w:t>
      </w:r>
      <w:r w:rsidR="00F46839" w:rsidRPr="00365472">
        <w:rPr>
          <w:rFonts w:ascii="微軟正黑體" w:eastAsia="微軟正黑體" w:hAnsi="微軟正黑體" w:hint="eastAsia"/>
          <w:sz w:val="18"/>
        </w:rPr>
        <w:t>月</w:t>
      </w:r>
      <w:r w:rsidR="00F46839" w:rsidRPr="00365472">
        <w:rPr>
          <w:rFonts w:ascii="微軟正黑體" w:eastAsia="微軟正黑體" w:hAnsi="微軟正黑體"/>
          <w:sz w:val="18"/>
        </w:rPr>
        <w:t>31</w:t>
      </w:r>
      <w:r w:rsidR="00F46839" w:rsidRPr="00365472">
        <w:rPr>
          <w:rFonts w:ascii="微軟正黑體" w:eastAsia="微軟正黑體" w:hAnsi="微軟正黑體" w:hint="eastAsia"/>
          <w:sz w:val="18"/>
        </w:rPr>
        <w:t>日第十屆全國人民代表大會常務委員會第二十四次會議通過</w:t>
      </w:r>
      <w:r w:rsidR="007132AA" w:rsidRPr="00365472">
        <w:rPr>
          <w:rFonts w:ascii="微軟正黑體" w:eastAsia="微軟正黑體" w:hAnsi="微軟正黑體"/>
          <w:sz w:val="18"/>
        </w:rPr>
        <w:t>）</w:t>
      </w:r>
      <w:r w:rsidR="00F46839" w:rsidRPr="00365472">
        <w:rPr>
          <w:rFonts w:ascii="微軟正黑體" w:eastAsia="微軟正黑體" w:hAnsi="微軟正黑體" w:hint="eastAsia"/>
          <w:sz w:val="18"/>
        </w:rPr>
        <w:t>中華人民共和國主席令第五十六號《中華人民共和國反洗錢法》已由中華人民共和國第十屆全國人民代表大會常務委員會第二十四次會議於</w:t>
      </w:r>
      <w:r w:rsidR="00F46839" w:rsidRPr="00365472">
        <w:rPr>
          <w:rFonts w:ascii="微軟正黑體" w:eastAsia="微軟正黑體" w:hAnsi="微軟正黑體"/>
          <w:sz w:val="18"/>
        </w:rPr>
        <w:t>2006</w:t>
      </w:r>
      <w:r w:rsidR="00F46839" w:rsidRPr="00365472">
        <w:rPr>
          <w:rFonts w:ascii="微軟正黑體" w:eastAsia="微軟正黑體" w:hAnsi="微軟正黑體" w:hint="eastAsia"/>
          <w:sz w:val="18"/>
        </w:rPr>
        <w:t>年</w:t>
      </w:r>
      <w:r w:rsidR="00F46839" w:rsidRPr="00365472">
        <w:rPr>
          <w:rFonts w:ascii="微軟正黑體" w:eastAsia="微軟正黑體" w:hAnsi="微軟正黑體"/>
          <w:sz w:val="18"/>
        </w:rPr>
        <w:t>10</w:t>
      </w:r>
      <w:r w:rsidR="00F46839" w:rsidRPr="00365472">
        <w:rPr>
          <w:rFonts w:ascii="微軟正黑體" w:eastAsia="微軟正黑體" w:hAnsi="微軟正黑體" w:hint="eastAsia"/>
          <w:sz w:val="18"/>
        </w:rPr>
        <w:t>月</w:t>
      </w:r>
      <w:r w:rsidR="00F46839" w:rsidRPr="00365472">
        <w:rPr>
          <w:rFonts w:ascii="微軟正黑體" w:eastAsia="微軟正黑體" w:hAnsi="微軟正黑體"/>
          <w:sz w:val="18"/>
        </w:rPr>
        <w:t>31</w:t>
      </w:r>
      <w:r w:rsidR="00F46839" w:rsidRPr="00365472">
        <w:rPr>
          <w:rFonts w:ascii="微軟正黑體" w:eastAsia="微軟正黑體" w:hAnsi="微軟正黑體" w:hint="eastAsia"/>
          <w:sz w:val="18"/>
        </w:rPr>
        <w:t>日通過，現予公佈，自</w:t>
      </w:r>
      <w:r w:rsidR="00F46839" w:rsidRPr="00365472">
        <w:rPr>
          <w:rFonts w:ascii="微軟正黑體" w:eastAsia="微軟正黑體" w:hAnsi="微軟正黑體"/>
          <w:sz w:val="18"/>
        </w:rPr>
        <w:t>2007</w:t>
      </w:r>
      <w:r w:rsidR="00F46839" w:rsidRPr="00365472">
        <w:rPr>
          <w:rFonts w:ascii="微軟正黑體" w:eastAsia="微軟正黑體" w:hAnsi="微軟正黑體" w:hint="eastAsia"/>
          <w:sz w:val="18"/>
        </w:rPr>
        <w:t>年</w:t>
      </w:r>
      <w:r w:rsidR="00F46839" w:rsidRPr="00365472">
        <w:rPr>
          <w:rFonts w:ascii="微軟正黑體" w:eastAsia="微軟正黑體" w:hAnsi="微軟正黑體"/>
          <w:sz w:val="18"/>
        </w:rPr>
        <w:t>1</w:t>
      </w:r>
      <w:r w:rsidR="00F46839" w:rsidRPr="00365472">
        <w:rPr>
          <w:rFonts w:ascii="微軟正黑體" w:eastAsia="微軟正黑體" w:hAnsi="微軟正黑體" w:hint="eastAsia"/>
          <w:sz w:val="18"/>
        </w:rPr>
        <w:t>月</w:t>
      </w:r>
      <w:r w:rsidR="00F46839" w:rsidRPr="00365472">
        <w:rPr>
          <w:rFonts w:ascii="微軟正黑體" w:eastAsia="微軟正黑體" w:hAnsi="微軟正黑體"/>
          <w:sz w:val="18"/>
        </w:rPr>
        <w:t>1</w:t>
      </w:r>
      <w:r w:rsidR="00F46839" w:rsidRPr="00365472">
        <w:rPr>
          <w:rFonts w:ascii="微軟正黑體" w:eastAsia="微軟正黑體" w:hAnsi="微軟正黑體" w:hint="eastAsia"/>
          <w:sz w:val="18"/>
        </w:rPr>
        <w:t>日起施行</w:t>
      </w:r>
    </w:p>
    <w:p w14:paraId="41C54A5D" w14:textId="77777777" w:rsidR="00EA5287" w:rsidRPr="00365472" w:rsidRDefault="00EA5287" w:rsidP="000364E4">
      <w:pPr>
        <w:ind w:firstLineChars="100" w:firstLine="200"/>
        <w:rPr>
          <w:rFonts w:ascii="微軟正黑體" w:eastAsia="微軟正黑體" w:hAnsi="微軟正黑體"/>
          <w:b/>
          <w:color w:val="993300"/>
        </w:rPr>
      </w:pPr>
      <w:bookmarkStart w:id="7" w:name="_第一章__總_則"/>
      <w:bookmarkEnd w:id="7"/>
    </w:p>
    <w:p w14:paraId="48C2B597" w14:textId="77777777" w:rsidR="00EC1757" w:rsidRPr="00365472" w:rsidRDefault="00EC1757" w:rsidP="008026D4">
      <w:pPr>
        <w:pStyle w:val="1"/>
        <w:rPr>
          <w:rFonts w:ascii="微軟正黑體" w:eastAsia="微軟正黑體" w:hAnsi="微軟正黑體"/>
          <w:color w:val="800000"/>
        </w:rPr>
      </w:pPr>
      <w:bookmarkStart w:id="8" w:name="aaa"/>
      <w:bookmarkEnd w:id="8"/>
      <w:r w:rsidRPr="00365472">
        <w:rPr>
          <w:rFonts w:ascii="微軟正黑體" w:eastAsia="微軟正黑體" w:hAnsi="微軟正黑體"/>
          <w:color w:val="800000"/>
        </w:rPr>
        <w:t>【</w:t>
      </w:r>
      <w:r w:rsidRPr="00365472">
        <w:rPr>
          <w:rFonts w:ascii="微軟正黑體" w:eastAsia="微軟正黑體" w:hAnsi="微軟正黑體" w:hint="eastAsia"/>
          <w:color w:val="800000"/>
        </w:rPr>
        <w:t>章節索引</w:t>
      </w:r>
      <w:r w:rsidRPr="00365472">
        <w:rPr>
          <w:rFonts w:ascii="微軟正黑體" w:eastAsia="微軟正黑體" w:hAnsi="微軟正黑體"/>
          <w:color w:val="800000"/>
        </w:rPr>
        <w:t>】</w:t>
      </w:r>
    </w:p>
    <w:p w14:paraId="70BD3998" w14:textId="77777777" w:rsidR="00F46839" w:rsidRPr="00365472" w:rsidRDefault="00F46839" w:rsidP="0012021A">
      <w:pPr>
        <w:ind w:left="142"/>
        <w:jc w:val="both"/>
        <w:rPr>
          <w:rFonts w:ascii="微軟正黑體" w:eastAsia="微軟正黑體" w:hAnsi="微軟正黑體"/>
          <w:color w:val="993300"/>
        </w:rPr>
      </w:pPr>
      <w:r w:rsidRPr="00365472">
        <w:rPr>
          <w:rFonts w:ascii="微軟正黑體" w:eastAsia="微軟正黑體" w:hAnsi="微軟正黑體" w:hint="eastAsia"/>
          <w:color w:val="993300"/>
        </w:rPr>
        <w:t xml:space="preserve">第一章　</w:t>
      </w:r>
      <w:hyperlink w:anchor="_第一章__總則" w:history="1">
        <w:r w:rsidRPr="00365472">
          <w:rPr>
            <w:rStyle w:val="a3"/>
            <w:rFonts w:ascii="微軟正黑體" w:eastAsia="微軟正黑體" w:hAnsi="微軟正黑體" w:hint="eastAsia"/>
          </w:rPr>
          <w:t>總則</w:t>
        </w:r>
      </w:hyperlink>
      <w:r w:rsidR="007953F2" w:rsidRPr="00365472">
        <w:rPr>
          <w:rFonts w:ascii="微軟正黑體" w:eastAsia="微軟正黑體" w:hAnsi="微軟正黑體" w:cs="Arial" w:hint="eastAsia"/>
          <w:color w:val="993300"/>
        </w:rPr>
        <w:t xml:space="preserve">　§1</w:t>
      </w:r>
    </w:p>
    <w:p w14:paraId="265770F5" w14:textId="77777777" w:rsidR="00F46839" w:rsidRPr="00365472" w:rsidRDefault="00F46839" w:rsidP="0012021A">
      <w:pPr>
        <w:ind w:left="142"/>
        <w:jc w:val="both"/>
        <w:rPr>
          <w:rFonts w:ascii="微軟正黑體" w:eastAsia="微軟正黑體" w:hAnsi="微軟正黑體"/>
          <w:color w:val="993300"/>
        </w:rPr>
      </w:pPr>
      <w:r w:rsidRPr="00365472">
        <w:rPr>
          <w:rFonts w:ascii="微軟正黑體" w:eastAsia="微軟正黑體" w:hAnsi="微軟正黑體" w:hint="eastAsia"/>
          <w:color w:val="993300"/>
        </w:rPr>
        <w:t xml:space="preserve">第二章　</w:t>
      </w:r>
      <w:hyperlink w:anchor="_第二章__反洗錢監督管理" w:history="1">
        <w:r w:rsidRPr="00365472">
          <w:rPr>
            <w:rStyle w:val="a3"/>
            <w:rFonts w:ascii="微軟正黑體" w:eastAsia="微軟正黑體" w:hAnsi="微軟正黑體" w:hint="eastAsia"/>
          </w:rPr>
          <w:t>反洗錢監督管理</w:t>
        </w:r>
      </w:hyperlink>
      <w:r w:rsidR="007953F2" w:rsidRPr="00365472">
        <w:rPr>
          <w:rFonts w:ascii="微軟正黑體" w:eastAsia="微軟正黑體" w:hAnsi="微軟正黑體" w:cs="Arial" w:hint="eastAsia"/>
          <w:color w:val="993300"/>
        </w:rPr>
        <w:t xml:space="preserve">　§</w:t>
      </w:r>
      <w:r w:rsidR="00706BEF" w:rsidRPr="00365472">
        <w:rPr>
          <w:rFonts w:ascii="微軟正黑體" w:eastAsia="微軟正黑體" w:hAnsi="微軟正黑體" w:cs="Arial" w:hint="eastAsia"/>
          <w:color w:val="993300"/>
        </w:rPr>
        <w:t>8</w:t>
      </w:r>
    </w:p>
    <w:p w14:paraId="039540D9" w14:textId="77777777" w:rsidR="00F46839" w:rsidRPr="00365472" w:rsidRDefault="00F46839" w:rsidP="0012021A">
      <w:pPr>
        <w:ind w:left="142"/>
        <w:jc w:val="both"/>
        <w:rPr>
          <w:rFonts w:ascii="微軟正黑體" w:eastAsia="微軟正黑體" w:hAnsi="微軟正黑體"/>
          <w:color w:val="993300"/>
        </w:rPr>
      </w:pPr>
      <w:r w:rsidRPr="00365472">
        <w:rPr>
          <w:rFonts w:ascii="微軟正黑體" w:eastAsia="微軟正黑體" w:hAnsi="微軟正黑體" w:hint="eastAsia"/>
          <w:color w:val="993300"/>
        </w:rPr>
        <w:t xml:space="preserve">第三章　</w:t>
      </w:r>
      <w:hyperlink w:anchor="_第三章__金融機構反洗錢義務" w:history="1">
        <w:r w:rsidRPr="00365472">
          <w:rPr>
            <w:rStyle w:val="a3"/>
            <w:rFonts w:ascii="微軟正黑體" w:eastAsia="微軟正黑體" w:hAnsi="微軟正黑體" w:hint="eastAsia"/>
          </w:rPr>
          <w:t>金融機構反洗錢義務</w:t>
        </w:r>
      </w:hyperlink>
      <w:r w:rsidR="007953F2" w:rsidRPr="00365472">
        <w:rPr>
          <w:rFonts w:ascii="微軟正黑體" w:eastAsia="微軟正黑體" w:hAnsi="微軟正黑體" w:cs="Arial" w:hint="eastAsia"/>
          <w:color w:val="993300"/>
        </w:rPr>
        <w:t xml:space="preserve">　§1</w:t>
      </w:r>
      <w:r w:rsidR="00706BEF" w:rsidRPr="00365472">
        <w:rPr>
          <w:rFonts w:ascii="微軟正黑體" w:eastAsia="微軟正黑體" w:hAnsi="微軟正黑體" w:cs="Arial" w:hint="eastAsia"/>
          <w:color w:val="993300"/>
        </w:rPr>
        <w:t>5</w:t>
      </w:r>
    </w:p>
    <w:p w14:paraId="0FE57025" w14:textId="77777777" w:rsidR="00F46839" w:rsidRPr="00365472" w:rsidRDefault="00F46839" w:rsidP="0012021A">
      <w:pPr>
        <w:ind w:left="142"/>
        <w:jc w:val="both"/>
        <w:rPr>
          <w:rFonts w:ascii="微軟正黑體" w:eastAsia="微軟正黑體" w:hAnsi="微軟正黑體"/>
          <w:color w:val="993300"/>
        </w:rPr>
      </w:pPr>
      <w:r w:rsidRPr="00365472">
        <w:rPr>
          <w:rFonts w:ascii="微軟正黑體" w:eastAsia="微軟正黑體" w:hAnsi="微軟正黑體" w:hint="eastAsia"/>
          <w:color w:val="993300"/>
        </w:rPr>
        <w:t xml:space="preserve">第四章　</w:t>
      </w:r>
      <w:hyperlink w:anchor="_第四章__反洗錢調查" w:history="1">
        <w:r w:rsidRPr="00365472">
          <w:rPr>
            <w:rStyle w:val="a3"/>
            <w:rFonts w:ascii="微軟正黑體" w:eastAsia="微軟正黑體" w:hAnsi="微軟正黑體" w:hint="eastAsia"/>
          </w:rPr>
          <w:t>反洗錢調查</w:t>
        </w:r>
      </w:hyperlink>
      <w:r w:rsidR="007953F2" w:rsidRPr="00365472">
        <w:rPr>
          <w:rFonts w:ascii="微軟正黑體" w:eastAsia="微軟正黑體" w:hAnsi="微軟正黑體" w:cs="Arial" w:hint="eastAsia"/>
          <w:color w:val="993300"/>
        </w:rPr>
        <w:t xml:space="preserve">　§</w:t>
      </w:r>
      <w:r w:rsidR="00706BEF" w:rsidRPr="00365472">
        <w:rPr>
          <w:rFonts w:ascii="微軟正黑體" w:eastAsia="微軟正黑體" w:hAnsi="微軟正黑體" w:cs="Arial" w:hint="eastAsia"/>
          <w:color w:val="993300"/>
        </w:rPr>
        <w:t>23</w:t>
      </w:r>
    </w:p>
    <w:p w14:paraId="700BEE77" w14:textId="77777777" w:rsidR="00F46839" w:rsidRPr="00365472" w:rsidRDefault="00F46839" w:rsidP="0012021A">
      <w:pPr>
        <w:ind w:left="142"/>
        <w:jc w:val="both"/>
        <w:rPr>
          <w:rFonts w:ascii="微軟正黑體" w:eastAsia="微軟正黑體" w:hAnsi="微軟正黑體"/>
          <w:color w:val="993300"/>
        </w:rPr>
      </w:pPr>
      <w:r w:rsidRPr="00365472">
        <w:rPr>
          <w:rFonts w:ascii="微軟正黑體" w:eastAsia="微軟正黑體" w:hAnsi="微軟正黑體" w:hint="eastAsia"/>
          <w:color w:val="993300"/>
        </w:rPr>
        <w:t xml:space="preserve">第五章　</w:t>
      </w:r>
      <w:hyperlink w:anchor="_第五章__反洗錢國際合作" w:history="1">
        <w:r w:rsidRPr="00365472">
          <w:rPr>
            <w:rStyle w:val="a3"/>
            <w:rFonts w:ascii="微軟正黑體" w:eastAsia="微軟正黑體" w:hAnsi="微軟正黑體" w:hint="eastAsia"/>
          </w:rPr>
          <w:t>反洗錢國際合作</w:t>
        </w:r>
      </w:hyperlink>
      <w:r w:rsidR="007953F2" w:rsidRPr="00365472">
        <w:rPr>
          <w:rFonts w:ascii="微軟正黑體" w:eastAsia="微軟正黑體" w:hAnsi="微軟正黑體" w:cs="Arial" w:hint="eastAsia"/>
          <w:color w:val="993300"/>
        </w:rPr>
        <w:t xml:space="preserve">　§</w:t>
      </w:r>
      <w:r w:rsidR="00706BEF" w:rsidRPr="00365472">
        <w:rPr>
          <w:rFonts w:ascii="微軟正黑體" w:eastAsia="微軟正黑體" w:hAnsi="微軟正黑體" w:cs="Arial" w:hint="eastAsia"/>
          <w:color w:val="993300"/>
        </w:rPr>
        <w:t>27</w:t>
      </w:r>
    </w:p>
    <w:p w14:paraId="14C83FD2" w14:textId="77777777" w:rsidR="00F46839" w:rsidRPr="00365472" w:rsidRDefault="00F46839" w:rsidP="0012021A">
      <w:pPr>
        <w:ind w:left="142"/>
        <w:jc w:val="both"/>
        <w:rPr>
          <w:rFonts w:ascii="微軟正黑體" w:eastAsia="微軟正黑體" w:hAnsi="微軟正黑體"/>
          <w:color w:val="993300"/>
        </w:rPr>
      </w:pPr>
      <w:r w:rsidRPr="00365472">
        <w:rPr>
          <w:rFonts w:ascii="微軟正黑體" w:eastAsia="微軟正黑體" w:hAnsi="微軟正黑體" w:hint="eastAsia"/>
          <w:color w:val="993300"/>
        </w:rPr>
        <w:t xml:space="preserve">第六章　</w:t>
      </w:r>
      <w:hyperlink w:anchor="_第六章__法_律　責　任" w:history="1">
        <w:r w:rsidRPr="00365472">
          <w:rPr>
            <w:rStyle w:val="a3"/>
            <w:rFonts w:ascii="微軟正黑體" w:eastAsia="微軟正黑體" w:hAnsi="微軟正黑體" w:hint="eastAsia"/>
          </w:rPr>
          <w:t>法律責任</w:t>
        </w:r>
      </w:hyperlink>
      <w:r w:rsidR="007953F2" w:rsidRPr="00365472">
        <w:rPr>
          <w:rFonts w:ascii="微軟正黑體" w:eastAsia="微軟正黑體" w:hAnsi="微軟正黑體" w:cs="Arial" w:hint="eastAsia"/>
          <w:color w:val="993300"/>
        </w:rPr>
        <w:t xml:space="preserve">　§</w:t>
      </w:r>
      <w:r w:rsidR="00706BEF" w:rsidRPr="00365472">
        <w:rPr>
          <w:rFonts w:ascii="微軟正黑體" w:eastAsia="微軟正黑體" w:hAnsi="微軟正黑體" w:cs="Arial" w:hint="eastAsia"/>
          <w:color w:val="993300"/>
        </w:rPr>
        <w:t>30</w:t>
      </w:r>
    </w:p>
    <w:p w14:paraId="6145270A" w14:textId="77777777" w:rsidR="00F46839" w:rsidRPr="00365472" w:rsidRDefault="00F46839" w:rsidP="0012021A">
      <w:pPr>
        <w:ind w:left="142"/>
        <w:jc w:val="both"/>
        <w:rPr>
          <w:rFonts w:ascii="微軟正黑體" w:eastAsia="微軟正黑體" w:hAnsi="微軟正黑體"/>
          <w:color w:val="993300"/>
        </w:rPr>
      </w:pPr>
      <w:r w:rsidRPr="00365472">
        <w:rPr>
          <w:rFonts w:ascii="微軟正黑體" w:eastAsia="微軟正黑體" w:hAnsi="微軟正黑體" w:hint="eastAsia"/>
          <w:color w:val="993300"/>
        </w:rPr>
        <w:t xml:space="preserve">第七章　</w:t>
      </w:r>
      <w:hyperlink w:anchor="_第七章__附_則" w:history="1">
        <w:r w:rsidRPr="00365472">
          <w:rPr>
            <w:rStyle w:val="a3"/>
            <w:rFonts w:ascii="微軟正黑體" w:eastAsia="微軟正黑體" w:hAnsi="微軟正黑體" w:hint="eastAsia"/>
          </w:rPr>
          <w:t>附則</w:t>
        </w:r>
      </w:hyperlink>
      <w:r w:rsidR="007953F2" w:rsidRPr="00365472">
        <w:rPr>
          <w:rFonts w:ascii="微軟正黑體" w:eastAsia="微軟正黑體" w:hAnsi="微軟正黑體" w:cs="Arial" w:hint="eastAsia"/>
          <w:color w:val="993300"/>
        </w:rPr>
        <w:t xml:space="preserve">　§</w:t>
      </w:r>
      <w:r w:rsidR="00706BEF" w:rsidRPr="00365472">
        <w:rPr>
          <w:rFonts w:ascii="微軟正黑體" w:eastAsia="微軟正黑體" w:hAnsi="微軟正黑體" w:cs="Arial" w:hint="eastAsia"/>
          <w:color w:val="993300"/>
        </w:rPr>
        <w:t>34</w:t>
      </w:r>
    </w:p>
    <w:p w14:paraId="34F79CF9" w14:textId="77777777" w:rsidR="00F46839" w:rsidRPr="00365472" w:rsidRDefault="00F46839" w:rsidP="00F46839">
      <w:pPr>
        <w:ind w:firstLineChars="100" w:firstLine="200"/>
        <w:rPr>
          <w:rFonts w:ascii="微軟正黑體" w:eastAsia="微軟正黑體" w:hAnsi="微軟正黑體"/>
          <w:b/>
          <w:color w:val="993300"/>
        </w:rPr>
      </w:pPr>
    </w:p>
    <w:p w14:paraId="1A4DDD58" w14:textId="59664149" w:rsidR="00F46839" w:rsidRPr="00365472" w:rsidRDefault="004F4B83" w:rsidP="008026D4">
      <w:pPr>
        <w:pStyle w:val="1"/>
        <w:rPr>
          <w:rFonts w:ascii="微軟正黑體" w:eastAsia="微軟正黑體" w:hAnsi="微軟正黑體"/>
          <w:color w:val="800000"/>
        </w:rPr>
      </w:pPr>
      <w:r>
        <w:rPr>
          <w:rFonts w:ascii="微軟正黑體" w:eastAsia="微軟正黑體" w:hAnsi="微軟正黑體"/>
          <w:color w:val="800000"/>
        </w:rPr>
        <w:t>【法規內容】</w:t>
      </w:r>
    </w:p>
    <w:p w14:paraId="38312720" w14:textId="77777777" w:rsidR="00F46839" w:rsidRPr="00365472" w:rsidRDefault="00F46839" w:rsidP="008026D4">
      <w:pPr>
        <w:pStyle w:val="1"/>
        <w:rPr>
          <w:rFonts w:ascii="微軟正黑體" w:eastAsia="微軟正黑體" w:hAnsi="微軟正黑體"/>
        </w:rPr>
      </w:pPr>
      <w:bookmarkStart w:id="9" w:name="_第一章__總則"/>
      <w:bookmarkEnd w:id="9"/>
      <w:r w:rsidRPr="00365472">
        <w:rPr>
          <w:rFonts w:ascii="微軟正黑體" w:eastAsia="微軟正黑體" w:hAnsi="微軟正黑體" w:hint="eastAsia"/>
        </w:rPr>
        <w:t>第一章</w:t>
      </w:r>
      <w:r w:rsidR="00706BEF" w:rsidRPr="00365472">
        <w:rPr>
          <w:rFonts w:ascii="微軟正黑體" w:eastAsia="微軟正黑體" w:hAnsi="微軟正黑體" w:hint="eastAsia"/>
        </w:rPr>
        <w:t xml:space="preserve">　　</w:t>
      </w:r>
      <w:r w:rsidRPr="00365472">
        <w:rPr>
          <w:rFonts w:ascii="微軟正黑體" w:eastAsia="微軟正黑體" w:hAnsi="微軟正黑體" w:hint="eastAsia"/>
        </w:rPr>
        <w:t>總</w:t>
      </w:r>
      <w:r w:rsidR="00706BEF" w:rsidRPr="00365472">
        <w:rPr>
          <w:rFonts w:ascii="微軟正黑體" w:eastAsia="微軟正黑體" w:hAnsi="微軟正黑體" w:hint="eastAsia"/>
        </w:rPr>
        <w:t xml:space="preserve">　</w:t>
      </w:r>
      <w:r w:rsidRPr="00365472">
        <w:rPr>
          <w:rFonts w:ascii="微軟正黑體" w:eastAsia="微軟正黑體" w:hAnsi="微軟正黑體" w:hint="eastAsia"/>
        </w:rPr>
        <w:t>則</w:t>
      </w:r>
    </w:p>
    <w:p w14:paraId="6245D18E"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1</w:t>
      </w:r>
      <w:r w:rsidR="004F4B83">
        <w:rPr>
          <w:rFonts w:ascii="微軟正黑體" w:eastAsia="微軟正黑體" w:hAnsi="微軟正黑體" w:hint="eastAsia"/>
        </w:rPr>
        <w:t>條</w:t>
      </w:r>
    </w:p>
    <w:p w14:paraId="0FC73E26" w14:textId="1BBC7309"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為了預防洗錢活動，維護金融秩序，遏制洗錢犯罪及相關犯罪，制定本法。</w:t>
      </w:r>
    </w:p>
    <w:p w14:paraId="3A5D459C"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w:t>
      </w:r>
      <w:r w:rsidR="004F4B83">
        <w:rPr>
          <w:rFonts w:ascii="微軟正黑體" w:eastAsia="微軟正黑體" w:hAnsi="微軟正黑體" w:hint="eastAsia"/>
        </w:rPr>
        <w:t>條</w:t>
      </w:r>
    </w:p>
    <w:p w14:paraId="69FFBA91" w14:textId="12FDC254"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本法所稱反洗錢，是指為了預防通過各種方式掩飾、隱瞞毒品犯罪、黑社會性質的組織犯罪、恐怖活動犯罪、走私犯罪、貪污賄賂犯罪、破壞金融管理秩序犯罪、金融詐騙犯罪等犯罪所得及其收益的來源和性質的洗錢活動，依照本法規定採取相關措施的行為。</w:t>
      </w:r>
    </w:p>
    <w:p w14:paraId="0E45B560"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lastRenderedPageBreak/>
        <w:t>第</w:t>
      </w:r>
      <w:r w:rsidR="008026D4" w:rsidRPr="00365472">
        <w:rPr>
          <w:rFonts w:ascii="微軟正黑體" w:eastAsia="微軟正黑體" w:hAnsi="微軟正黑體" w:hint="eastAsia"/>
        </w:rPr>
        <w:t>3</w:t>
      </w:r>
      <w:r w:rsidR="004F4B83">
        <w:rPr>
          <w:rFonts w:ascii="微軟正黑體" w:eastAsia="微軟正黑體" w:hAnsi="微軟正黑體" w:hint="eastAsia"/>
        </w:rPr>
        <w:t>條</w:t>
      </w:r>
    </w:p>
    <w:p w14:paraId="6935B469" w14:textId="7F997A97"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在中華人民共和國境內設立的金融機構和按照規定應當履行反洗錢義務的特定非金融機構，應當依法採取預防、監控措施，建立健全客戶身份識別制度、客戶身份資料和交易記錄保存制度、大額交易和可疑交易報告制度，履行反洗錢義務。</w:t>
      </w:r>
    </w:p>
    <w:p w14:paraId="312147AD"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4</w:t>
      </w:r>
      <w:r w:rsidR="004F4B83">
        <w:rPr>
          <w:rFonts w:ascii="微軟正黑體" w:eastAsia="微軟正黑體" w:hAnsi="微軟正黑體" w:hint="eastAsia"/>
        </w:rPr>
        <w:t>條</w:t>
      </w:r>
    </w:p>
    <w:p w14:paraId="2DC93A60" w14:textId="34152E45"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國務院反洗錢行政主管部門負責全國的反洗錢監督管理工作。國務院有關部門、機構在各自的職責範圍內履行反洗錢監督管理職責</w:t>
      </w:r>
      <w:r>
        <w:rPr>
          <w:rFonts w:ascii="微軟正黑體" w:eastAsia="微軟正黑體" w:hAnsi="微軟正黑體" w:hint="eastAsia"/>
          <w:color w:val="000000"/>
        </w:rPr>
        <w:t>。</w:t>
      </w:r>
    </w:p>
    <w:p w14:paraId="7EF50295" w14:textId="6C72934C"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國務院反洗錢行政主管部門、國務院有關部門、機構和司法機關在反洗錢工作中應當相互配合。</w:t>
      </w:r>
    </w:p>
    <w:p w14:paraId="1F596AA1"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5</w:t>
      </w:r>
      <w:r w:rsidR="004F4B83">
        <w:rPr>
          <w:rFonts w:ascii="微軟正黑體" w:eastAsia="微軟正黑體" w:hAnsi="微軟正黑體" w:hint="eastAsia"/>
        </w:rPr>
        <w:t>條</w:t>
      </w:r>
    </w:p>
    <w:p w14:paraId="7E9F3EF6" w14:textId="3296AC8D"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對依法履行反洗錢職責或者義務獲得的客戶身份資料和交易資訊，應當予以保密；非依法律規定，不得向任何單位和個人提供</w:t>
      </w:r>
      <w:r>
        <w:rPr>
          <w:rFonts w:ascii="微軟正黑體" w:eastAsia="微軟正黑體" w:hAnsi="微軟正黑體" w:hint="eastAsia"/>
          <w:color w:val="000000"/>
        </w:rPr>
        <w:t>。</w:t>
      </w:r>
    </w:p>
    <w:p w14:paraId="42F87800" w14:textId="200B944D"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17365D"/>
        </w:rPr>
        <w:t>反洗錢行政主管部門和其他依法負有反洗錢監督管理職責的部門、機構履行反洗錢職責獲得的客戶身份資料和交易資訊，只能用於反洗錢行政調查</w:t>
      </w:r>
      <w:r>
        <w:rPr>
          <w:rFonts w:ascii="微軟正黑體" w:eastAsia="微軟正黑體" w:hAnsi="微軟正黑體" w:hint="eastAsia"/>
          <w:color w:val="000000"/>
        </w:rPr>
        <w:t>。</w:t>
      </w:r>
    </w:p>
    <w:p w14:paraId="6C8BA929" w14:textId="3801E7AD"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3</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司法機關依照本法獲得的客戶身份資料和交易資訊，只能用於反洗錢刑事訴訟。</w:t>
      </w:r>
    </w:p>
    <w:p w14:paraId="02881EA8"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6</w:t>
      </w:r>
      <w:r w:rsidR="004F4B83">
        <w:rPr>
          <w:rFonts w:ascii="微軟正黑體" w:eastAsia="微軟正黑體" w:hAnsi="微軟正黑體" w:hint="eastAsia"/>
        </w:rPr>
        <w:t>條</w:t>
      </w:r>
    </w:p>
    <w:p w14:paraId="30FEC026" w14:textId="61E2B481"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履行反洗錢義務的機構及其工作人員依法提交大額交易和可疑交易報告，受法律保護。</w:t>
      </w:r>
    </w:p>
    <w:p w14:paraId="5A08F41E"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7</w:t>
      </w:r>
      <w:r w:rsidR="004F4B83">
        <w:rPr>
          <w:rFonts w:ascii="微軟正黑體" w:eastAsia="微軟正黑體" w:hAnsi="微軟正黑體" w:hint="eastAsia"/>
        </w:rPr>
        <w:t>條</w:t>
      </w:r>
    </w:p>
    <w:p w14:paraId="4C472725" w14:textId="41D8B53C"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任何單位和個人發現洗錢活動，有權向反洗錢行政主管部門或者公安機關舉報。接受舉報的機關應當對舉報人和舉報內容保密</w:t>
      </w:r>
      <w:r>
        <w:rPr>
          <w:rFonts w:ascii="微軟正黑體" w:eastAsia="微軟正黑體" w:hAnsi="微軟正黑體" w:hint="eastAsia"/>
          <w:color w:val="000000"/>
        </w:rPr>
        <w:t>。</w:t>
      </w:r>
    </w:p>
    <w:p w14:paraId="4B62D197" w14:textId="2AB5F270" w:rsidR="00E768CC" w:rsidRPr="00365472" w:rsidRDefault="004F4B83" w:rsidP="00E9084A">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E9084A" w:rsidRPr="00365472">
        <w:rPr>
          <w:rFonts w:ascii="微軟正黑體" w:eastAsia="微軟正黑體" w:hAnsi="微軟正黑體"/>
          <w:color w:val="808000"/>
          <w:sz w:val="18"/>
        </w:rPr>
        <w:t xml:space="preserve">　　　　　　　　　　　　　　　　　　　　　　　　　　　　　　　　　　　　　　　　　　　　　</w:t>
      </w:r>
      <w:hyperlink w:anchor="aaa" w:history="1">
        <w:r w:rsidR="00E9084A" w:rsidRPr="00365472">
          <w:rPr>
            <w:rStyle w:val="a3"/>
            <w:rFonts w:ascii="微軟正黑體" w:eastAsia="微軟正黑體" w:hAnsi="微軟正黑體" w:hint="eastAsia"/>
            <w:sz w:val="18"/>
          </w:rPr>
          <w:t>回索引</w:t>
        </w:r>
      </w:hyperlink>
      <w:r w:rsidR="00194770" w:rsidRPr="00365472">
        <w:rPr>
          <w:rFonts w:ascii="微軟正黑體" w:eastAsia="微軟正黑體" w:hAnsi="微軟正黑體" w:hint="eastAsia"/>
          <w:color w:val="808000"/>
          <w:sz w:val="18"/>
        </w:rPr>
        <w:t>〉〉</w:t>
      </w:r>
    </w:p>
    <w:p w14:paraId="290F6DFD" w14:textId="77777777" w:rsidR="00F46839" w:rsidRPr="00365472" w:rsidRDefault="00F46839" w:rsidP="008026D4">
      <w:pPr>
        <w:pStyle w:val="1"/>
        <w:rPr>
          <w:rFonts w:ascii="微軟正黑體" w:eastAsia="微軟正黑體" w:hAnsi="微軟正黑體"/>
        </w:rPr>
      </w:pPr>
      <w:bookmarkStart w:id="10" w:name="_第二章__反洗錢監督管理"/>
      <w:bookmarkEnd w:id="10"/>
      <w:r w:rsidRPr="00365472">
        <w:rPr>
          <w:rFonts w:ascii="微軟正黑體" w:eastAsia="微軟正黑體" w:hAnsi="微軟正黑體" w:hint="eastAsia"/>
        </w:rPr>
        <w:t>第二章　　反洗錢監督管理</w:t>
      </w:r>
    </w:p>
    <w:p w14:paraId="2118F139"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8</w:t>
      </w:r>
      <w:r w:rsidR="004F4B83">
        <w:rPr>
          <w:rFonts w:ascii="微軟正黑體" w:eastAsia="微軟正黑體" w:hAnsi="微軟正黑體" w:hint="eastAsia"/>
        </w:rPr>
        <w:t>條</w:t>
      </w:r>
    </w:p>
    <w:p w14:paraId="53A114A8" w14:textId="08BA8A9E"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國務院反洗錢行政主管部門組織、協調全國的反洗錢工作，負責反洗錢的資金監測，制定或者會同國務院有關金融監督管理機構制定金融機構反洗錢規章，監督、檢查金融機構履行反洗錢義務的情況，在職責範圍內調查可疑交易活動，履行法律和國務院規定的有關反洗錢的其他職責</w:t>
      </w:r>
      <w:r>
        <w:rPr>
          <w:rFonts w:ascii="微軟正黑體" w:eastAsia="微軟正黑體" w:hAnsi="微軟正黑體" w:hint="eastAsia"/>
          <w:color w:val="000000"/>
        </w:rPr>
        <w:t>。</w:t>
      </w:r>
    </w:p>
    <w:p w14:paraId="113DA31D" w14:textId="07C88858"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國務院反洗錢行政主管部門的派出機構在國務院反洗錢行政主管部門的授權範圍內，對金融機構履行反洗錢義務的情況進行監督、檢查。</w:t>
      </w:r>
    </w:p>
    <w:p w14:paraId="50BF696E"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9</w:t>
      </w:r>
      <w:r w:rsidR="004F4B83">
        <w:rPr>
          <w:rFonts w:ascii="微軟正黑體" w:eastAsia="微軟正黑體" w:hAnsi="微軟正黑體" w:hint="eastAsia"/>
        </w:rPr>
        <w:t>條</w:t>
      </w:r>
    </w:p>
    <w:p w14:paraId="1F4FA0F0" w14:textId="1EE7C8CA"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國務院有關金融監督管理機構參與制定所監督管理的金融機構反洗錢規章，對所監督管理的金融機構提出按照規定建立健全反洗錢內部控制制度的要求，履行法律和國務院規定的有關反洗錢的其他職責。</w:t>
      </w:r>
    </w:p>
    <w:p w14:paraId="4C4903FE"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第10</w:t>
      </w:r>
      <w:r w:rsidR="004F4B83">
        <w:rPr>
          <w:rFonts w:ascii="微軟正黑體" w:eastAsia="微軟正黑體" w:hAnsi="微軟正黑體" w:hint="eastAsia"/>
        </w:rPr>
        <w:t>條</w:t>
      </w:r>
    </w:p>
    <w:p w14:paraId="75585A8C" w14:textId="2AE93806"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國務院反洗錢行政主管部門設立反洗錢資訊中心，負責大額交易和可疑交易報告的接收、分析，並按照規定向國務院反洗錢行政主管部門報告分析結果，履行國務院反洗錢行政主管部門規定的其他職責。</w:t>
      </w:r>
    </w:p>
    <w:p w14:paraId="63627061"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第11</w:t>
      </w:r>
      <w:r w:rsidR="004F4B83">
        <w:rPr>
          <w:rFonts w:ascii="微軟正黑體" w:eastAsia="微軟正黑體" w:hAnsi="微軟正黑體" w:hint="eastAsia"/>
        </w:rPr>
        <w:t>條</w:t>
      </w:r>
    </w:p>
    <w:p w14:paraId="344C502D" w14:textId="5C46B377"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國務院反洗錢行政主管部門為履行反洗錢資金監測職責，可以從國務院有關部門、機構獲取所必需的資訊，國務院有關部門、機構應當提供</w:t>
      </w:r>
      <w:r>
        <w:rPr>
          <w:rFonts w:ascii="微軟正黑體" w:eastAsia="微軟正黑體" w:hAnsi="微軟正黑體" w:hint="eastAsia"/>
          <w:color w:val="000000"/>
        </w:rPr>
        <w:t>。</w:t>
      </w:r>
    </w:p>
    <w:p w14:paraId="7FEEDD3A" w14:textId="2C184A12"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國務院反洗錢行政主管部門應當向國務院有關部門、機構定期通報反洗錢工作情況。</w:t>
      </w:r>
    </w:p>
    <w:p w14:paraId="61D83437"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第12</w:t>
      </w:r>
      <w:r w:rsidR="004F4B83">
        <w:rPr>
          <w:rFonts w:ascii="微軟正黑體" w:eastAsia="微軟正黑體" w:hAnsi="微軟正黑體" w:hint="eastAsia"/>
        </w:rPr>
        <w:t>條</w:t>
      </w:r>
    </w:p>
    <w:p w14:paraId="70071187" w14:textId="37A2B2FE"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海關發現個人出入境攜帶的現金、無記名有價證券超過規定金額的，應當及時向反洗錢行政主管部門通報</w:t>
      </w:r>
      <w:r>
        <w:rPr>
          <w:rFonts w:ascii="微軟正黑體" w:eastAsia="微軟正黑體" w:hAnsi="微軟正黑體" w:hint="eastAsia"/>
          <w:color w:val="000000"/>
        </w:rPr>
        <w:t>。</w:t>
      </w:r>
    </w:p>
    <w:p w14:paraId="7FFB4572" w14:textId="5FEDFD4E"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前款應當通報的金額標準由國務院反洗錢行政主管部門會同海關總署規定。</w:t>
      </w:r>
    </w:p>
    <w:p w14:paraId="2D7C64D7"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第13</w:t>
      </w:r>
      <w:r w:rsidR="004F4B83">
        <w:rPr>
          <w:rFonts w:ascii="微軟正黑體" w:eastAsia="微軟正黑體" w:hAnsi="微軟正黑體" w:hint="eastAsia"/>
        </w:rPr>
        <w:t>條</w:t>
      </w:r>
    </w:p>
    <w:p w14:paraId="633126C0" w14:textId="43CAD0A4"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反洗錢行政主管部門和其他依法負有反洗錢監督管理職責的部門、機構發現涉嫌洗錢犯罪的交易活動，應當及時向偵查機關報告。</w:t>
      </w:r>
    </w:p>
    <w:p w14:paraId="0004CB3A"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第14</w:t>
      </w:r>
      <w:r w:rsidR="004F4B83">
        <w:rPr>
          <w:rFonts w:ascii="微軟正黑體" w:eastAsia="微軟正黑體" w:hAnsi="微軟正黑體" w:hint="eastAsia"/>
        </w:rPr>
        <w:t>條</w:t>
      </w:r>
    </w:p>
    <w:p w14:paraId="100038E7" w14:textId="5EA9B935"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國務院有關金融監督管理機構審批新設金融機構或者金融機構增設分支機搆時，應當審查新機構反洗錢內部控制制度的方案；對於不符合本法規定的設立申請，不予批准</w:t>
      </w:r>
      <w:r>
        <w:rPr>
          <w:rFonts w:ascii="微軟正黑體" w:eastAsia="微軟正黑體" w:hAnsi="微軟正黑體" w:hint="eastAsia"/>
          <w:color w:val="000000"/>
        </w:rPr>
        <w:t>。</w:t>
      </w:r>
    </w:p>
    <w:p w14:paraId="7C8724E7" w14:textId="4381BF38" w:rsidR="00FC5698" w:rsidRPr="00365472" w:rsidRDefault="004F4B83" w:rsidP="00E9084A">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E9084A" w:rsidRPr="00365472">
        <w:rPr>
          <w:rFonts w:ascii="微軟正黑體" w:eastAsia="微軟正黑體" w:hAnsi="微軟正黑體"/>
          <w:color w:val="808000"/>
          <w:sz w:val="18"/>
        </w:rPr>
        <w:t xml:space="preserve">　　　　　　　　　　　　　　　　　　　　　　　　　　　　　　　　　　　　　　　　　　　　　</w:t>
      </w:r>
      <w:hyperlink w:anchor="aaa" w:history="1">
        <w:r w:rsidR="00E9084A" w:rsidRPr="00365472">
          <w:rPr>
            <w:rStyle w:val="a3"/>
            <w:rFonts w:ascii="微軟正黑體" w:eastAsia="微軟正黑體" w:hAnsi="微軟正黑體" w:hint="eastAsia"/>
            <w:sz w:val="18"/>
          </w:rPr>
          <w:t>回索引</w:t>
        </w:r>
      </w:hyperlink>
      <w:r w:rsidR="00194770" w:rsidRPr="00365472">
        <w:rPr>
          <w:rFonts w:ascii="微軟正黑體" w:eastAsia="微軟正黑體" w:hAnsi="微軟正黑體" w:hint="eastAsia"/>
          <w:color w:val="808000"/>
          <w:sz w:val="18"/>
        </w:rPr>
        <w:t>〉〉</w:t>
      </w:r>
    </w:p>
    <w:p w14:paraId="679FB50A" w14:textId="77777777" w:rsidR="00F46839" w:rsidRPr="00365472" w:rsidRDefault="00F46839" w:rsidP="008026D4">
      <w:pPr>
        <w:pStyle w:val="1"/>
        <w:rPr>
          <w:rFonts w:ascii="微軟正黑體" w:eastAsia="微軟正黑體" w:hAnsi="微軟正黑體"/>
        </w:rPr>
      </w:pPr>
      <w:bookmarkStart w:id="11" w:name="_第三章__金融機構反洗錢義務"/>
      <w:bookmarkEnd w:id="11"/>
      <w:r w:rsidRPr="00365472">
        <w:rPr>
          <w:rFonts w:ascii="微軟正黑體" w:eastAsia="微軟正黑體" w:hAnsi="微軟正黑體" w:hint="eastAsia"/>
        </w:rPr>
        <w:t>第三章　　金融機構反洗錢義務</w:t>
      </w:r>
    </w:p>
    <w:p w14:paraId="39693952"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第15</w:t>
      </w:r>
      <w:r w:rsidR="004F4B83">
        <w:rPr>
          <w:rFonts w:ascii="微軟正黑體" w:eastAsia="微軟正黑體" w:hAnsi="微軟正黑體" w:hint="eastAsia"/>
        </w:rPr>
        <w:t>條</w:t>
      </w:r>
    </w:p>
    <w:p w14:paraId="2EF16F97" w14:textId="1EDD8514"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金融機構應當依照本法規定建立健全反洗錢內部控制制度，金融機構的負責人應當對反洗錢內部控制制度的有效實施負責</w:t>
      </w:r>
      <w:r>
        <w:rPr>
          <w:rFonts w:ascii="微軟正黑體" w:eastAsia="微軟正黑體" w:hAnsi="微軟正黑體" w:hint="eastAsia"/>
          <w:color w:val="000000"/>
        </w:rPr>
        <w:t>。</w:t>
      </w:r>
    </w:p>
    <w:p w14:paraId="402DFA0C" w14:textId="089AB6B6"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金融機構應當設立反洗錢專門機構或者指定內設機構負責反洗錢工作。</w:t>
      </w:r>
    </w:p>
    <w:p w14:paraId="3AA683CC"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第16</w:t>
      </w:r>
      <w:r w:rsidR="004F4B83">
        <w:rPr>
          <w:rFonts w:ascii="微軟正黑體" w:eastAsia="微軟正黑體" w:hAnsi="微軟正黑體" w:hint="eastAsia"/>
        </w:rPr>
        <w:t>條</w:t>
      </w:r>
    </w:p>
    <w:p w14:paraId="290461AE" w14:textId="1B7ECEF9"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金融機構應當按照規定建立客戶身份識別制度</w:t>
      </w:r>
      <w:r>
        <w:rPr>
          <w:rFonts w:ascii="微軟正黑體" w:eastAsia="微軟正黑體" w:hAnsi="微軟正黑體" w:hint="eastAsia"/>
          <w:color w:val="000000"/>
        </w:rPr>
        <w:t>。</w:t>
      </w:r>
    </w:p>
    <w:p w14:paraId="6DF0725A" w14:textId="21BE3C61"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17365D"/>
        </w:rPr>
        <w:t>金融機構在與客戶建立業務關係或者為客戶提供規定金額以上的現金匯款、現鈔兌換、票據兌付等一次性金融服務時，應當要求客戶出示真實有效的身份證件或者其他身份證明文件，進行核對並登記</w:t>
      </w:r>
      <w:r>
        <w:rPr>
          <w:rFonts w:ascii="微軟正黑體" w:eastAsia="微軟正黑體" w:hAnsi="微軟正黑體" w:hint="eastAsia"/>
          <w:color w:val="000000"/>
        </w:rPr>
        <w:t>。</w:t>
      </w:r>
    </w:p>
    <w:p w14:paraId="08075820" w14:textId="46A46AD3"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3</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000000"/>
        </w:rPr>
        <w:t>客戶由他人代理辦理業務的，金融機構應當同時對代理人和被代理人的身份證件或者其他身份證明文件進行核對並登記</w:t>
      </w:r>
      <w:r>
        <w:rPr>
          <w:rFonts w:ascii="微軟正黑體" w:eastAsia="微軟正黑體" w:hAnsi="微軟正黑體" w:hint="eastAsia"/>
          <w:color w:val="000000"/>
        </w:rPr>
        <w:t>。</w:t>
      </w:r>
    </w:p>
    <w:p w14:paraId="0919894A" w14:textId="6715CD59"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4</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17365D"/>
        </w:rPr>
        <w:t>與客戶建立人身保險、信託等業務關係，合同的受益人不是客戶本人的，金融機構還應當對受益人的身份證件或者其他身份證明文件進行核對並登記</w:t>
      </w:r>
      <w:r>
        <w:rPr>
          <w:rFonts w:ascii="微軟正黑體" w:eastAsia="微軟正黑體" w:hAnsi="微軟正黑體" w:hint="eastAsia"/>
          <w:color w:val="000000"/>
        </w:rPr>
        <w:t>。</w:t>
      </w:r>
    </w:p>
    <w:p w14:paraId="11EB3790" w14:textId="44A14444"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5</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000000"/>
        </w:rPr>
        <w:t>金融機構不得為身份不明的客戶提供服務或者與其進行交易，不得為客戶開立匿名帳戶或者假名帳戶</w:t>
      </w:r>
      <w:r>
        <w:rPr>
          <w:rFonts w:ascii="微軟正黑體" w:eastAsia="微軟正黑體" w:hAnsi="微軟正黑體" w:hint="eastAsia"/>
          <w:color w:val="000000"/>
        </w:rPr>
        <w:t>。</w:t>
      </w:r>
    </w:p>
    <w:p w14:paraId="77650F24" w14:textId="7BD189C7"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6</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17365D"/>
        </w:rPr>
        <w:t>金融機構對先前獲得的客戶身份資料的真實性、有效性或者完整性有疑問的，應當重新識別客戶身份</w:t>
      </w:r>
      <w:r>
        <w:rPr>
          <w:rFonts w:ascii="微軟正黑體" w:eastAsia="微軟正黑體" w:hAnsi="微軟正黑體" w:hint="eastAsia"/>
          <w:color w:val="000000"/>
        </w:rPr>
        <w:t>。</w:t>
      </w:r>
    </w:p>
    <w:p w14:paraId="31158FD0" w14:textId="44CC478B"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7</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任何單位和個人在與金融機構建立業務關係或者要求金融機構為其提供一次性金融服務時，都應當提供真實有效的身份證件或者其他身份證明</w:t>
      </w:r>
      <w:r w:rsidR="00797B00" w:rsidRPr="00365472">
        <w:rPr>
          <w:rFonts w:ascii="微軟正黑體" w:eastAsia="微軟正黑體" w:hAnsi="微軟正黑體" w:hint="eastAsia"/>
          <w:color w:val="000000"/>
        </w:rPr>
        <w:t>文件</w:t>
      </w:r>
      <w:r w:rsidR="00F46839" w:rsidRPr="00365472">
        <w:rPr>
          <w:rFonts w:ascii="微軟正黑體" w:eastAsia="微軟正黑體" w:hAnsi="微軟正黑體" w:hint="eastAsia"/>
          <w:color w:val="000000"/>
        </w:rPr>
        <w:t>。</w:t>
      </w:r>
    </w:p>
    <w:p w14:paraId="7A9CD4F9"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第17</w:t>
      </w:r>
      <w:r w:rsidR="004F4B83">
        <w:rPr>
          <w:rFonts w:ascii="微軟正黑體" w:eastAsia="微軟正黑體" w:hAnsi="微軟正黑體" w:hint="eastAsia"/>
        </w:rPr>
        <w:t>條</w:t>
      </w:r>
    </w:p>
    <w:p w14:paraId="286C7830" w14:textId="4DBB86BC"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金融機構通過第三方識別客戶身份的，應當確保第三方已經採取符合本法要求的客戶身份識別措施；第三方未採取符合本法要求的客戶身份識別措施的，由該金融機構承擔未履行客戶身份識別義務的責任。</w:t>
      </w:r>
    </w:p>
    <w:p w14:paraId="0F564729"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第18</w:t>
      </w:r>
      <w:r w:rsidR="004F4B83">
        <w:rPr>
          <w:rFonts w:ascii="微軟正黑體" w:eastAsia="微軟正黑體" w:hAnsi="微軟正黑體" w:hint="eastAsia"/>
        </w:rPr>
        <w:t>條</w:t>
      </w:r>
    </w:p>
    <w:p w14:paraId="405FBF08" w14:textId="2AACA4E2"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金融機構進行客戶身份識別，認為必要時，可以向公安、工商行政管理等部門核實客戶的有關身份資訊。</w:t>
      </w:r>
    </w:p>
    <w:p w14:paraId="45B7BEE4" w14:textId="77777777" w:rsidR="004F4B83" w:rsidRDefault="008026D4" w:rsidP="008026D4">
      <w:pPr>
        <w:pStyle w:val="2"/>
        <w:rPr>
          <w:rFonts w:ascii="微軟正黑體" w:eastAsia="微軟正黑體" w:hAnsi="微軟正黑體" w:hint="eastAsia"/>
        </w:rPr>
      </w:pPr>
      <w:r w:rsidRPr="00365472">
        <w:rPr>
          <w:rFonts w:ascii="微軟正黑體" w:eastAsia="微軟正黑體" w:hAnsi="微軟正黑體" w:hint="eastAsia"/>
        </w:rPr>
        <w:t>第19</w:t>
      </w:r>
      <w:r w:rsidR="004F4B83">
        <w:rPr>
          <w:rFonts w:ascii="微軟正黑體" w:eastAsia="微軟正黑體" w:hAnsi="微軟正黑體" w:hint="eastAsia"/>
        </w:rPr>
        <w:t>條</w:t>
      </w:r>
    </w:p>
    <w:p w14:paraId="55AC013C" w14:textId="712BEB39"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金融機構應當按照規定建立客戶身份資料和交易記錄保存制度</w:t>
      </w:r>
      <w:r>
        <w:rPr>
          <w:rFonts w:ascii="微軟正黑體" w:eastAsia="微軟正黑體" w:hAnsi="微軟正黑體" w:hint="eastAsia"/>
          <w:color w:val="000000"/>
        </w:rPr>
        <w:t>。</w:t>
      </w:r>
    </w:p>
    <w:p w14:paraId="122E2169" w14:textId="4B4ECD0B"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17365D"/>
        </w:rPr>
        <w:t>在業務關係存軒期間，客戶身份資料發生變更的，應當及時更新客戶身份資料</w:t>
      </w:r>
      <w:r>
        <w:rPr>
          <w:rFonts w:ascii="微軟正黑體" w:eastAsia="微軟正黑體" w:hAnsi="微軟正黑體" w:hint="eastAsia"/>
          <w:color w:val="000000"/>
        </w:rPr>
        <w:t>。</w:t>
      </w:r>
    </w:p>
    <w:p w14:paraId="03069881" w14:textId="65DBDDAB"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3</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000000"/>
        </w:rPr>
        <w:t>客戶身份資料在業務關係結束後、客戶交易資訊在交易結束後，應當至少保存五年</w:t>
      </w:r>
      <w:r>
        <w:rPr>
          <w:rFonts w:ascii="微軟正黑體" w:eastAsia="微軟正黑體" w:hAnsi="微軟正黑體" w:hint="eastAsia"/>
          <w:color w:val="000000"/>
        </w:rPr>
        <w:t>。</w:t>
      </w:r>
    </w:p>
    <w:p w14:paraId="57112DC9" w14:textId="1AAAC10E"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4</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金融機構破產和解散時，應當將客戶身份資料和客戶交易資訊移交國務院有關部門指定的機構。</w:t>
      </w:r>
    </w:p>
    <w:p w14:paraId="53416F9B"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20</w:t>
      </w:r>
      <w:r w:rsidR="004F4B83">
        <w:rPr>
          <w:rFonts w:ascii="微軟正黑體" w:eastAsia="微軟正黑體" w:hAnsi="微軟正黑體" w:hint="eastAsia"/>
        </w:rPr>
        <w:t>條</w:t>
      </w:r>
    </w:p>
    <w:p w14:paraId="5953399A" w14:textId="2B087CD4"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金融機構應當按照規定執行大額交易和可疑交易報告制度</w:t>
      </w:r>
      <w:r>
        <w:rPr>
          <w:rFonts w:ascii="微軟正黑體" w:eastAsia="微軟正黑體" w:hAnsi="微軟正黑體" w:hint="eastAsia"/>
          <w:color w:val="000000"/>
        </w:rPr>
        <w:t>。</w:t>
      </w:r>
    </w:p>
    <w:p w14:paraId="1396E876" w14:textId="1CB8D735"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金融機構辦理的單筆交易或者在規定期限內的累計交易超過規定金額或者發現可疑交易的，應當及時向反洗錢資訊中心報告。</w:t>
      </w:r>
    </w:p>
    <w:p w14:paraId="0504CC05"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21</w:t>
      </w:r>
      <w:r w:rsidR="004F4B83">
        <w:rPr>
          <w:rFonts w:ascii="微軟正黑體" w:eastAsia="微軟正黑體" w:hAnsi="微軟正黑體" w:hint="eastAsia"/>
        </w:rPr>
        <w:t>條</w:t>
      </w:r>
    </w:p>
    <w:p w14:paraId="5C4B2E6E" w14:textId="31DC619C"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建立客戶身份識別制度、客戶身份資料和交易記錄保存制度的具體辦法，由國務院反洗錢行政主管部門會同國務院有關金融監督管理機構制定。金融機構大額交易和可疑交易報告的具體辦法，由國務院反洗錢行政主管部門制定。</w:t>
      </w:r>
    </w:p>
    <w:p w14:paraId="40D5C633"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22</w:t>
      </w:r>
      <w:r w:rsidR="004F4B83">
        <w:rPr>
          <w:rFonts w:ascii="微軟正黑體" w:eastAsia="微軟正黑體" w:hAnsi="微軟正黑體" w:hint="eastAsia"/>
        </w:rPr>
        <w:t>條</w:t>
      </w:r>
    </w:p>
    <w:p w14:paraId="1875CD59" w14:textId="6FBFB2B6"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金融機構應當按照反洗錢預防、監控制度的要求，開展反洗錢培訓和宣傳工作</w:t>
      </w:r>
      <w:r>
        <w:rPr>
          <w:rFonts w:ascii="微軟正黑體" w:eastAsia="微軟正黑體" w:hAnsi="微軟正黑體" w:hint="eastAsia"/>
          <w:color w:val="000000"/>
        </w:rPr>
        <w:t>。</w:t>
      </w:r>
    </w:p>
    <w:p w14:paraId="18D2C10F" w14:textId="6309EEF4" w:rsidR="00FC5698" w:rsidRPr="00365472" w:rsidRDefault="004F4B83" w:rsidP="00E9084A">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E9084A" w:rsidRPr="00365472">
        <w:rPr>
          <w:rFonts w:ascii="微軟正黑體" w:eastAsia="微軟正黑體" w:hAnsi="微軟正黑體"/>
          <w:color w:val="808000"/>
          <w:sz w:val="18"/>
        </w:rPr>
        <w:t xml:space="preserve">　　　　　　　　　　　　　　　　　　　　　　　　　　　　　　　　　　　　　　　　　　　　　</w:t>
      </w:r>
      <w:hyperlink w:anchor="aaa" w:history="1">
        <w:r w:rsidR="00E9084A" w:rsidRPr="00365472">
          <w:rPr>
            <w:rStyle w:val="a3"/>
            <w:rFonts w:ascii="微軟正黑體" w:eastAsia="微軟正黑體" w:hAnsi="微軟正黑體" w:hint="eastAsia"/>
            <w:sz w:val="18"/>
          </w:rPr>
          <w:t>回索引</w:t>
        </w:r>
      </w:hyperlink>
      <w:r w:rsidR="00194770" w:rsidRPr="00365472">
        <w:rPr>
          <w:rFonts w:ascii="微軟正黑體" w:eastAsia="微軟正黑體" w:hAnsi="微軟正黑體" w:hint="eastAsia"/>
          <w:color w:val="808000"/>
          <w:sz w:val="18"/>
        </w:rPr>
        <w:t>〉〉</w:t>
      </w:r>
    </w:p>
    <w:p w14:paraId="68452521" w14:textId="77777777" w:rsidR="00F46839" w:rsidRPr="00365472" w:rsidRDefault="00F46839" w:rsidP="008026D4">
      <w:pPr>
        <w:pStyle w:val="1"/>
        <w:rPr>
          <w:rFonts w:ascii="微軟正黑體" w:eastAsia="微軟正黑體" w:hAnsi="微軟正黑體"/>
        </w:rPr>
      </w:pPr>
      <w:bookmarkStart w:id="12" w:name="_第四章__反洗錢調查"/>
      <w:bookmarkEnd w:id="12"/>
      <w:r w:rsidRPr="00365472">
        <w:rPr>
          <w:rFonts w:ascii="微軟正黑體" w:eastAsia="微軟正黑體" w:hAnsi="微軟正黑體" w:hint="eastAsia"/>
        </w:rPr>
        <w:t>第四章　　反洗錢調查</w:t>
      </w:r>
    </w:p>
    <w:p w14:paraId="6F13A5CF"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23</w:t>
      </w:r>
      <w:r w:rsidR="004F4B83">
        <w:rPr>
          <w:rFonts w:ascii="微軟正黑體" w:eastAsia="微軟正黑體" w:hAnsi="微軟正黑體" w:hint="eastAsia"/>
        </w:rPr>
        <w:t>條</w:t>
      </w:r>
    </w:p>
    <w:p w14:paraId="3056F9B6" w14:textId="5828C508"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國務院反洗錢行政主管部門或者其省一級派出機構發現可疑交易活動，需要調查核實的，可以向金融機構進行調查，金融機構應當予以配合，如實提供有關</w:t>
      </w:r>
      <w:r w:rsidR="00AD7DE5" w:rsidRPr="00365472">
        <w:rPr>
          <w:rFonts w:ascii="微軟正黑體" w:eastAsia="微軟正黑體" w:hAnsi="微軟正黑體" w:hint="eastAsia"/>
          <w:color w:val="000000"/>
        </w:rPr>
        <w:t>文件</w:t>
      </w:r>
      <w:r w:rsidR="00F46839" w:rsidRPr="00365472">
        <w:rPr>
          <w:rFonts w:ascii="微軟正黑體" w:eastAsia="微軟正黑體" w:hAnsi="微軟正黑體" w:hint="eastAsia"/>
          <w:color w:val="000000"/>
        </w:rPr>
        <w:t>和資料</w:t>
      </w:r>
      <w:r>
        <w:rPr>
          <w:rFonts w:ascii="微軟正黑體" w:eastAsia="微軟正黑體" w:hAnsi="微軟正黑體" w:hint="eastAsia"/>
          <w:color w:val="000000"/>
        </w:rPr>
        <w:t>。</w:t>
      </w:r>
    </w:p>
    <w:p w14:paraId="35AB5C9D" w14:textId="728516C0"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調查可疑交易活動時，調查人員不得少於二人，並出示合法證件和國務院反洗錢行政主管部門或者其省一級派出機構出具的調查通知書。調查人員少於二人或者未出示合法證件和調查通知書的，金融機構有權拒絕調查。</w:t>
      </w:r>
    </w:p>
    <w:p w14:paraId="006E470F"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24</w:t>
      </w:r>
      <w:r w:rsidR="004F4B83">
        <w:rPr>
          <w:rFonts w:ascii="微軟正黑體" w:eastAsia="微軟正黑體" w:hAnsi="微軟正黑體" w:hint="eastAsia"/>
        </w:rPr>
        <w:t>條</w:t>
      </w:r>
    </w:p>
    <w:p w14:paraId="54CCA114" w14:textId="1E981980"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調查可疑交易活動，可以詢問金融機構有關人員，要求其說明情況</w:t>
      </w:r>
      <w:r>
        <w:rPr>
          <w:rFonts w:ascii="微軟正黑體" w:eastAsia="微軟正黑體" w:hAnsi="微軟正黑體" w:hint="eastAsia"/>
          <w:color w:val="000000"/>
        </w:rPr>
        <w:t>。</w:t>
      </w:r>
    </w:p>
    <w:p w14:paraId="2993921A" w14:textId="53E4318C"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詢問應當製作詢問筆錄。詢問筆錄應當交被詢問人核對。記載有遺漏或者差錯的，被詢問人可以要求補充或者更正。被詢問人確認筆錄無誤後，應當簽名或者蓋章；調查人員也應當在筆錄上簽名。</w:t>
      </w:r>
    </w:p>
    <w:p w14:paraId="19198D9C"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25</w:t>
      </w:r>
      <w:r w:rsidR="004F4B83">
        <w:rPr>
          <w:rFonts w:ascii="微軟正黑體" w:eastAsia="微軟正黑體" w:hAnsi="微軟正黑體" w:hint="eastAsia"/>
        </w:rPr>
        <w:t>條</w:t>
      </w:r>
    </w:p>
    <w:p w14:paraId="4BEAFC41" w14:textId="47CBF683"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調查中需要進一步核查的，經國務院反洗錢行政主管部門或者其省一級派出機構的負責人批准，可以查閱、複製被調查</w:t>
      </w:r>
      <w:r w:rsidR="00F84D95" w:rsidRPr="00365472">
        <w:rPr>
          <w:rFonts w:ascii="微軟正黑體" w:eastAsia="微軟正黑體" w:hAnsi="微軟正黑體" w:hint="eastAsia"/>
          <w:color w:val="000000"/>
        </w:rPr>
        <w:t>對象</w:t>
      </w:r>
      <w:r w:rsidR="00F46839" w:rsidRPr="00365472">
        <w:rPr>
          <w:rFonts w:ascii="微軟正黑體" w:eastAsia="微軟正黑體" w:hAnsi="微軟正黑體" w:hint="eastAsia"/>
          <w:color w:val="000000"/>
        </w:rPr>
        <w:t>的帳戶資訊、交易記錄和其他有關資料；對可能被轉移、隱藏、篡改或者毀損的</w:t>
      </w:r>
      <w:r w:rsidR="00AD7DE5" w:rsidRPr="00365472">
        <w:rPr>
          <w:rFonts w:ascii="微軟正黑體" w:eastAsia="微軟正黑體" w:hAnsi="微軟正黑體" w:hint="eastAsia"/>
          <w:color w:val="000000"/>
        </w:rPr>
        <w:t>文件</w:t>
      </w:r>
      <w:r w:rsidR="00F46839" w:rsidRPr="00365472">
        <w:rPr>
          <w:rFonts w:ascii="微軟正黑體" w:eastAsia="微軟正黑體" w:hAnsi="微軟正黑體" w:hint="eastAsia"/>
          <w:color w:val="000000"/>
        </w:rPr>
        <w:t>、資料，可以予以封存</w:t>
      </w:r>
      <w:r>
        <w:rPr>
          <w:rFonts w:ascii="微軟正黑體" w:eastAsia="微軟正黑體" w:hAnsi="微軟正黑體" w:hint="eastAsia"/>
          <w:color w:val="000000"/>
        </w:rPr>
        <w:t>。</w:t>
      </w:r>
    </w:p>
    <w:p w14:paraId="2335DDF1" w14:textId="6E5A4C4A" w:rsidR="00F46839" w:rsidRPr="00365472" w:rsidRDefault="004F4B83" w:rsidP="00F46839">
      <w:pPr>
        <w:ind w:left="119"/>
        <w:jc w:val="both"/>
        <w:rPr>
          <w:rFonts w:ascii="微軟正黑體" w:eastAsia="微軟正黑體" w:hAnsi="微軟正黑體"/>
          <w:color w:val="17365D"/>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17365D"/>
        </w:rPr>
        <w:t>調查人員封存</w:t>
      </w:r>
      <w:r w:rsidR="00AD7DE5" w:rsidRPr="00365472">
        <w:rPr>
          <w:rFonts w:ascii="微軟正黑體" w:eastAsia="微軟正黑體" w:hAnsi="微軟正黑體" w:hint="eastAsia"/>
          <w:color w:val="17365D"/>
        </w:rPr>
        <w:t>文件</w:t>
      </w:r>
      <w:r w:rsidR="00F46839" w:rsidRPr="00365472">
        <w:rPr>
          <w:rFonts w:ascii="微軟正黑體" w:eastAsia="微軟正黑體" w:hAnsi="微軟正黑體" w:hint="eastAsia"/>
          <w:color w:val="17365D"/>
        </w:rPr>
        <w:t>、資料，應當會同在場的金融機構工作人員查點清楚，當場開列清單一式二份，由調查人員和在場的金融機構工作人員簽名或者蓋章，一份交金融機構，一份附卷備查。</w:t>
      </w:r>
    </w:p>
    <w:p w14:paraId="1BA90502"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26</w:t>
      </w:r>
      <w:r w:rsidR="004F4B83">
        <w:rPr>
          <w:rFonts w:ascii="微軟正黑體" w:eastAsia="微軟正黑體" w:hAnsi="微軟正黑體" w:hint="eastAsia"/>
        </w:rPr>
        <w:t>條</w:t>
      </w:r>
    </w:p>
    <w:p w14:paraId="5C4AD3C3" w14:textId="56F22685"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經調查仍不能排除洗錢嫌疑的，應當立即向有管轄權的偵查機關報案。客戶要求將調查所涉及的帳戶資金轉往境外的，經國務院反洗錢行政主管部門負責人批准，可以採取臨時凍結措施</w:t>
      </w:r>
      <w:r>
        <w:rPr>
          <w:rFonts w:ascii="微軟正黑體" w:eastAsia="微軟正黑體" w:hAnsi="微軟正黑體" w:hint="eastAsia"/>
          <w:color w:val="000000"/>
        </w:rPr>
        <w:t>。</w:t>
      </w:r>
    </w:p>
    <w:p w14:paraId="18AC31E5" w14:textId="0A26AC10"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17365D"/>
        </w:rPr>
        <w:t>偵查機關接到報案後，對已依照前款規定臨時凍結的資金，應當及時決定是否繼續凍結。偵查機關認為需要繼續凍結的，依照</w:t>
      </w:r>
      <w:hyperlink r:id="rId15" w:history="1">
        <w:r w:rsidRPr="00365472">
          <w:rPr>
            <w:rStyle w:val="a3"/>
            <w:rFonts w:ascii="微軟正黑體" w:eastAsia="微軟正黑體" w:hAnsi="微軟正黑體" w:hint="eastAsia"/>
          </w:rPr>
          <w:t>刑事訴訟法</w:t>
        </w:r>
      </w:hyperlink>
      <w:r w:rsidRPr="00365472">
        <w:rPr>
          <w:rFonts w:ascii="微軟正黑體" w:eastAsia="微軟正黑體" w:hAnsi="微軟正黑體" w:hint="eastAsia"/>
          <w:color w:val="17365D"/>
        </w:rPr>
        <w:t>的規定採取凍結措施；認為不需要繼續凍結的，應當立即通知國務院反洗錢行政主管部門，國務院反洗錢行政主管部門應當立即通知金融機構解除凍結</w:t>
      </w:r>
      <w:r>
        <w:rPr>
          <w:rFonts w:ascii="微軟正黑體" w:eastAsia="微軟正黑體" w:hAnsi="微軟正黑體" w:hint="eastAsia"/>
          <w:color w:val="000000"/>
        </w:rPr>
        <w:t>。</w:t>
      </w:r>
    </w:p>
    <w:p w14:paraId="75C37145" w14:textId="156CE9E7"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3</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臨時凍結不得超過四十八小時。金融機構在按照國務院反洗錢行政主管部門的要求採取臨時凍結措施後四十八小時內，未接到偵查機關繼續凍結通知的，應當立即解除凍結</w:t>
      </w:r>
      <w:r>
        <w:rPr>
          <w:rFonts w:ascii="微軟正黑體" w:eastAsia="微軟正黑體" w:hAnsi="微軟正黑體" w:hint="eastAsia"/>
          <w:color w:val="000000"/>
        </w:rPr>
        <w:t>。</w:t>
      </w:r>
    </w:p>
    <w:p w14:paraId="537C4024" w14:textId="7ECBB843" w:rsidR="00FC5698" w:rsidRPr="00365472" w:rsidRDefault="004F4B83" w:rsidP="00E9084A">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E9084A" w:rsidRPr="00365472">
        <w:rPr>
          <w:rFonts w:ascii="微軟正黑體" w:eastAsia="微軟正黑體" w:hAnsi="微軟正黑體"/>
          <w:color w:val="808000"/>
          <w:sz w:val="18"/>
        </w:rPr>
        <w:t xml:space="preserve">　　　　　　　　　　　　　　　　　　　　　　　　　　　　　　　　　　　　　　　　　　　　　</w:t>
      </w:r>
      <w:hyperlink w:anchor="aaa" w:history="1">
        <w:r w:rsidR="00E9084A" w:rsidRPr="00365472">
          <w:rPr>
            <w:rStyle w:val="a3"/>
            <w:rFonts w:ascii="微軟正黑體" w:eastAsia="微軟正黑體" w:hAnsi="微軟正黑體" w:hint="eastAsia"/>
            <w:sz w:val="18"/>
          </w:rPr>
          <w:t>回索引</w:t>
        </w:r>
      </w:hyperlink>
      <w:r w:rsidR="00194770" w:rsidRPr="00365472">
        <w:rPr>
          <w:rFonts w:ascii="微軟正黑體" w:eastAsia="微軟正黑體" w:hAnsi="微軟正黑體" w:hint="eastAsia"/>
          <w:color w:val="808000"/>
          <w:sz w:val="18"/>
        </w:rPr>
        <w:t>〉〉</w:t>
      </w:r>
    </w:p>
    <w:p w14:paraId="60B59937" w14:textId="77777777" w:rsidR="00F46839" w:rsidRPr="00365472" w:rsidRDefault="00F46839" w:rsidP="008026D4">
      <w:pPr>
        <w:pStyle w:val="1"/>
        <w:rPr>
          <w:rFonts w:ascii="微軟正黑體" w:eastAsia="微軟正黑體" w:hAnsi="微軟正黑體"/>
        </w:rPr>
      </w:pPr>
      <w:bookmarkStart w:id="13" w:name="_第五章__反洗錢國際合作"/>
      <w:bookmarkEnd w:id="13"/>
      <w:r w:rsidRPr="00365472">
        <w:rPr>
          <w:rFonts w:ascii="微軟正黑體" w:eastAsia="微軟正黑體" w:hAnsi="微軟正黑體" w:hint="eastAsia"/>
        </w:rPr>
        <w:t>第五章　　反洗錢國際合作</w:t>
      </w:r>
    </w:p>
    <w:p w14:paraId="417D1223"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27</w:t>
      </w:r>
      <w:r w:rsidR="004F4B83">
        <w:rPr>
          <w:rFonts w:ascii="微軟正黑體" w:eastAsia="微軟正黑體" w:hAnsi="微軟正黑體" w:hint="eastAsia"/>
        </w:rPr>
        <w:t>條</w:t>
      </w:r>
    </w:p>
    <w:p w14:paraId="3DE8E202" w14:textId="0B295EF6"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中華人民共和國根據締結或者參加的國際條約，或者按照平等互惠原則，開展反洗錢國際合作。</w:t>
      </w:r>
    </w:p>
    <w:p w14:paraId="314B0C95"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28</w:t>
      </w:r>
      <w:r w:rsidR="004F4B83">
        <w:rPr>
          <w:rFonts w:ascii="微軟正黑體" w:eastAsia="微軟正黑體" w:hAnsi="微軟正黑體" w:hint="eastAsia"/>
        </w:rPr>
        <w:t>條</w:t>
      </w:r>
    </w:p>
    <w:p w14:paraId="0BF8C413" w14:textId="2584E63D"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國務院反洗錢行政主管部門根據國務院授權，代表中國政府與外國政府和有關國際組織開展反洗錢合作，依法與境外反洗錢機構交換與反洗錢有關的資訊和資料。</w:t>
      </w:r>
    </w:p>
    <w:p w14:paraId="25967C14"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29</w:t>
      </w:r>
      <w:r w:rsidR="004F4B83">
        <w:rPr>
          <w:rFonts w:ascii="微軟正黑體" w:eastAsia="微軟正黑體" w:hAnsi="微軟正黑體" w:hint="eastAsia"/>
        </w:rPr>
        <w:t>條</w:t>
      </w:r>
    </w:p>
    <w:p w14:paraId="6C4F14E5" w14:textId="2D799EE4"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涉及追究洗錢犯罪的司法協助，由司法機關依照有關法律的規定辦理</w:t>
      </w:r>
      <w:r>
        <w:rPr>
          <w:rFonts w:ascii="微軟正黑體" w:eastAsia="微軟正黑體" w:hAnsi="微軟正黑體" w:hint="eastAsia"/>
          <w:color w:val="000000"/>
        </w:rPr>
        <w:t>。</w:t>
      </w:r>
    </w:p>
    <w:p w14:paraId="4DFC33B1" w14:textId="18FBD4F0" w:rsidR="00FC5698" w:rsidRPr="00365472" w:rsidRDefault="004F4B83" w:rsidP="00E9084A">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E9084A" w:rsidRPr="00365472">
        <w:rPr>
          <w:rFonts w:ascii="微軟正黑體" w:eastAsia="微軟正黑體" w:hAnsi="微軟正黑體"/>
          <w:color w:val="808000"/>
          <w:sz w:val="18"/>
        </w:rPr>
        <w:t xml:space="preserve">　　　　　　　　　　　　　　　　　　　　　　　　　　　　　　　　　　　　　　　　　　　　　</w:t>
      </w:r>
      <w:hyperlink w:anchor="aaa" w:history="1">
        <w:r w:rsidR="00E9084A" w:rsidRPr="00365472">
          <w:rPr>
            <w:rStyle w:val="a3"/>
            <w:rFonts w:ascii="微軟正黑體" w:eastAsia="微軟正黑體" w:hAnsi="微軟正黑體" w:hint="eastAsia"/>
            <w:sz w:val="18"/>
          </w:rPr>
          <w:t>回索引</w:t>
        </w:r>
      </w:hyperlink>
      <w:r w:rsidR="00194770" w:rsidRPr="00365472">
        <w:rPr>
          <w:rFonts w:ascii="微軟正黑體" w:eastAsia="微軟正黑體" w:hAnsi="微軟正黑體" w:hint="eastAsia"/>
          <w:color w:val="808000"/>
          <w:sz w:val="18"/>
        </w:rPr>
        <w:t>〉〉</w:t>
      </w:r>
    </w:p>
    <w:p w14:paraId="5F57F141" w14:textId="1FF55213" w:rsidR="00F46839" w:rsidRPr="00365472" w:rsidRDefault="00F46839" w:rsidP="008026D4">
      <w:pPr>
        <w:pStyle w:val="1"/>
        <w:rPr>
          <w:rFonts w:ascii="微軟正黑體" w:eastAsia="微軟正黑體" w:hAnsi="微軟正黑體"/>
        </w:rPr>
      </w:pPr>
      <w:bookmarkStart w:id="14" w:name="_第六章__法_律_責_任"/>
      <w:bookmarkEnd w:id="14"/>
      <w:r w:rsidRPr="00365472">
        <w:rPr>
          <w:rFonts w:ascii="微軟正黑體" w:eastAsia="微軟正黑體" w:hAnsi="微軟正黑體" w:hint="eastAsia"/>
        </w:rPr>
        <w:t>第六章　　法律責任</w:t>
      </w:r>
    </w:p>
    <w:p w14:paraId="1083D273"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30</w:t>
      </w:r>
      <w:r w:rsidR="004F4B83">
        <w:rPr>
          <w:rFonts w:ascii="微軟正黑體" w:eastAsia="微軟正黑體" w:hAnsi="微軟正黑體" w:hint="eastAsia"/>
        </w:rPr>
        <w:t>條</w:t>
      </w:r>
    </w:p>
    <w:p w14:paraId="667C7361" w14:textId="35A933D0"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反洗錢行政主管部門和其他依法負有反洗錢監督管理職責的部門、機構從事反洗錢工作的人員有下列行為之一的，依法給予行政處分：</w:t>
      </w:r>
    </w:p>
    <w:p w14:paraId="4F632AAD"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一</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違反規定進行檢查、調查或者採取臨時凍結措施的；</w:t>
      </w:r>
    </w:p>
    <w:p w14:paraId="2A6911E8"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二</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洩露因反洗錢知悉的國家秘密、商業秘密或者個人隱私的；</w:t>
      </w:r>
    </w:p>
    <w:p w14:paraId="1BE0A9B4"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三</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違反規定對有關機構和人員實施行政處罰的；</w:t>
      </w:r>
    </w:p>
    <w:p w14:paraId="14DB2F9E"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四</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其他不依法履行職責的行為。</w:t>
      </w:r>
    </w:p>
    <w:p w14:paraId="06496EBF"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31</w:t>
      </w:r>
      <w:r w:rsidR="004F4B83">
        <w:rPr>
          <w:rFonts w:ascii="微軟正黑體" w:eastAsia="微軟正黑體" w:hAnsi="微軟正黑體" w:hint="eastAsia"/>
        </w:rPr>
        <w:t>條</w:t>
      </w:r>
    </w:p>
    <w:p w14:paraId="1FDAB0C6" w14:textId="7171D96E"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有下列行為之一的，由國務院反洗錢行政主管部門或者其授權的設區的市一級以上派出機構責令限期改正；情節嚴重的，建議有關金融監督管理機構依法責令金融機構對直接負責的董事、高級管理人員和其他直接責任人員給予紀律處分：</w:t>
      </w:r>
    </w:p>
    <w:p w14:paraId="23BC6570"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一</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未按照規定建立反洗錢內部控制制度的；</w:t>
      </w:r>
    </w:p>
    <w:p w14:paraId="0D8C346F"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二</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未按照規定設立反洗錢專門機構或者指定內設機構負責反洗錢工作的；</w:t>
      </w:r>
    </w:p>
    <w:p w14:paraId="56C44962"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三</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未按照規定對職工進行反洗錢培訓的。</w:t>
      </w:r>
    </w:p>
    <w:p w14:paraId="4B2ABA7E"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32</w:t>
      </w:r>
      <w:r w:rsidR="004F4B83">
        <w:rPr>
          <w:rFonts w:ascii="微軟正黑體" w:eastAsia="微軟正黑體" w:hAnsi="微軟正黑體" w:hint="eastAsia"/>
        </w:rPr>
        <w:t>條</w:t>
      </w:r>
    </w:p>
    <w:p w14:paraId="0EBB5118" w14:textId="7E907B29"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金融機構有下列行為之一的，由國務院反洗錢行政主管部門或者其授權的設區的市一級以上派出機構責令限期改正；情節嚴重的，處二十萬元以上五十萬元以下罰款，並對直接負責的董事、高級管理人員和其他直接責任人員，處一萬元以上五萬元以下罰款：</w:t>
      </w:r>
    </w:p>
    <w:p w14:paraId="4322AEC8"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一</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未按照規定履行客戶身份識別義務的；</w:t>
      </w:r>
    </w:p>
    <w:p w14:paraId="2497F6D0"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二</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未按照規定保存客戶身份資料和交易記錄的；</w:t>
      </w:r>
    </w:p>
    <w:p w14:paraId="74E46054"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三</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未按照規定報送大額交易報告或者可疑交易報告的；</w:t>
      </w:r>
    </w:p>
    <w:p w14:paraId="78505D64"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四</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與身份不明的客戶進行交易或者為客戶開立匿名帳戶、假名帳戶的；</w:t>
      </w:r>
    </w:p>
    <w:p w14:paraId="3E1BAE4E"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五</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違反保密規定，洩露有關資訊的；</w:t>
      </w:r>
    </w:p>
    <w:p w14:paraId="46FAAC3E" w14:textId="77777777" w:rsidR="00F46839" w:rsidRPr="00365472" w:rsidRDefault="00F46839" w:rsidP="00F46839">
      <w:pPr>
        <w:ind w:left="119"/>
        <w:jc w:val="both"/>
        <w:rPr>
          <w:rFonts w:ascii="微軟正黑體" w:eastAsia="微軟正黑體" w:hAnsi="微軟正黑體"/>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六</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拒絕、阻礙反洗錢檢查、調查的；</w:t>
      </w:r>
    </w:p>
    <w:p w14:paraId="74B4DA5A" w14:textId="77777777" w:rsidR="004F4B83" w:rsidRDefault="00F46839" w:rsidP="00F46839">
      <w:pPr>
        <w:ind w:left="119"/>
        <w:jc w:val="both"/>
        <w:rPr>
          <w:rFonts w:ascii="微軟正黑體" w:eastAsia="微軟正黑體" w:hAnsi="微軟正黑體" w:hint="eastAsia"/>
          <w:color w:val="000000"/>
        </w:rPr>
      </w:pPr>
      <w:r w:rsidRPr="00365472">
        <w:rPr>
          <w:rFonts w:ascii="微軟正黑體" w:eastAsia="微軟正黑體" w:hAnsi="微軟正黑體" w:hint="eastAsia"/>
          <w:color w:val="000000"/>
        </w:rPr>
        <w:t xml:space="preserve">　　</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七</w:t>
      </w:r>
      <w:r w:rsidR="007132AA" w:rsidRPr="00365472">
        <w:rPr>
          <w:rFonts w:ascii="微軟正黑體" w:eastAsia="微軟正黑體" w:hAnsi="微軟正黑體" w:hint="eastAsia"/>
          <w:color w:val="000000"/>
        </w:rPr>
        <w:t>）</w:t>
      </w:r>
      <w:r w:rsidRPr="00365472">
        <w:rPr>
          <w:rFonts w:ascii="微軟正黑體" w:eastAsia="微軟正黑體" w:hAnsi="微軟正黑體" w:hint="eastAsia"/>
          <w:color w:val="000000"/>
        </w:rPr>
        <w:t>拒絕提供調查材料或者故意提供虛假材料的</w:t>
      </w:r>
      <w:r w:rsidR="004F4B83">
        <w:rPr>
          <w:rFonts w:ascii="微軟正黑體" w:eastAsia="微軟正黑體" w:hAnsi="微軟正黑體" w:hint="eastAsia"/>
          <w:color w:val="000000"/>
        </w:rPr>
        <w:t>。</w:t>
      </w:r>
    </w:p>
    <w:p w14:paraId="58358E5D" w14:textId="3A5FDA0E"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2</w:t>
      </w:r>
      <w:r w:rsidRPr="004F4B83">
        <w:rPr>
          <w:rFonts w:asciiTheme="minorHAnsi" w:eastAsia="微軟正黑體" w:hAnsiTheme="minorHAnsi" w:hint="eastAsia"/>
          <w:color w:val="404040" w:themeColor="text1" w:themeTint="BF"/>
          <w:sz w:val="16"/>
        </w:rPr>
        <w:t>﹞</w:t>
      </w:r>
      <w:r w:rsidRPr="00365472">
        <w:rPr>
          <w:rFonts w:ascii="微軟正黑體" w:eastAsia="微軟正黑體" w:hAnsi="微軟正黑體" w:hint="eastAsia"/>
          <w:color w:val="17365D"/>
        </w:rPr>
        <w:t>金融機構有前款行為，致使洗錢後果發生的，處五十萬元以上五百萬元以下罰款，並對直接負責的董事、高級管理人員和其他直接責任人員處五萬元以上五十萬元以下罰款；情節特別嚴重的，反洗錢行政主管部門可以建議有關金融監督管理機構責令停業整頓或者吊銷其經營許可證</w:t>
      </w:r>
      <w:r>
        <w:rPr>
          <w:rFonts w:ascii="微軟正黑體" w:eastAsia="微軟正黑體" w:hAnsi="微軟正黑體" w:hint="eastAsia"/>
          <w:color w:val="000000"/>
        </w:rPr>
        <w:t>。</w:t>
      </w:r>
    </w:p>
    <w:p w14:paraId="3301CE8B" w14:textId="724A23B2"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3</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對有前兩款規定情形的金融機構直接負責的董事、高級管理人員和其他直接責任人員，反洗錢行政主管部門可以建議有關金融監督管理機構依法責令金融機構給予紀律處分，或者建議依法取消其任職資格、禁止其從事有關金融行業工作。</w:t>
      </w:r>
    </w:p>
    <w:p w14:paraId="165C8C91"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33</w:t>
      </w:r>
      <w:r w:rsidR="004F4B83">
        <w:rPr>
          <w:rFonts w:ascii="微軟正黑體" w:eastAsia="微軟正黑體" w:hAnsi="微軟正黑體" w:hint="eastAsia"/>
        </w:rPr>
        <w:t>條</w:t>
      </w:r>
    </w:p>
    <w:p w14:paraId="43331C79" w14:textId="1E8D184E" w:rsidR="004F4B83" w:rsidRDefault="004F4B83" w:rsidP="00F46839">
      <w:pPr>
        <w:ind w:left="119"/>
        <w:jc w:val="both"/>
        <w:rPr>
          <w:rFonts w:ascii="微軟正黑體" w:eastAsia="微軟正黑體" w:hAnsi="微軟正黑體" w:hint="eastAsia"/>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違反本法規定，構成犯罪的，依法追究刑事責任</w:t>
      </w:r>
      <w:r>
        <w:rPr>
          <w:rFonts w:ascii="微軟正黑體" w:eastAsia="微軟正黑體" w:hAnsi="微軟正黑體" w:hint="eastAsia"/>
          <w:color w:val="000000"/>
        </w:rPr>
        <w:t>。</w:t>
      </w:r>
    </w:p>
    <w:p w14:paraId="2645B38E" w14:textId="6C5B89C3" w:rsidR="00FC5698" w:rsidRPr="00365472" w:rsidRDefault="004F4B83" w:rsidP="00E9084A">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E9084A" w:rsidRPr="00365472">
        <w:rPr>
          <w:rFonts w:ascii="微軟正黑體" w:eastAsia="微軟正黑體" w:hAnsi="微軟正黑體"/>
          <w:color w:val="808000"/>
          <w:sz w:val="18"/>
        </w:rPr>
        <w:t xml:space="preserve">　　　　　　　　　　　　　　　　　　　　　　　　　　　　　　　　　　　　　　　　　　　　　</w:t>
      </w:r>
      <w:hyperlink w:anchor="aaa" w:history="1">
        <w:r w:rsidR="00E9084A" w:rsidRPr="00365472">
          <w:rPr>
            <w:rStyle w:val="a3"/>
            <w:rFonts w:ascii="微軟正黑體" w:eastAsia="微軟正黑體" w:hAnsi="微軟正黑體" w:hint="eastAsia"/>
            <w:sz w:val="18"/>
          </w:rPr>
          <w:t>回索引</w:t>
        </w:r>
      </w:hyperlink>
      <w:r w:rsidR="00194770" w:rsidRPr="00365472">
        <w:rPr>
          <w:rFonts w:ascii="微軟正黑體" w:eastAsia="微軟正黑體" w:hAnsi="微軟正黑體" w:hint="eastAsia"/>
          <w:color w:val="808000"/>
          <w:sz w:val="18"/>
        </w:rPr>
        <w:t>〉〉</w:t>
      </w:r>
    </w:p>
    <w:p w14:paraId="5B06268D" w14:textId="77777777" w:rsidR="00F46839" w:rsidRPr="00365472" w:rsidRDefault="00F46839" w:rsidP="008026D4">
      <w:pPr>
        <w:pStyle w:val="1"/>
        <w:rPr>
          <w:rFonts w:ascii="微軟正黑體" w:eastAsia="微軟正黑體" w:hAnsi="微軟正黑體"/>
        </w:rPr>
      </w:pPr>
      <w:bookmarkStart w:id="15" w:name="_第七章__附_則"/>
      <w:bookmarkEnd w:id="15"/>
      <w:r w:rsidRPr="00365472">
        <w:rPr>
          <w:rFonts w:ascii="微軟正黑體" w:eastAsia="微軟正黑體" w:hAnsi="微軟正黑體" w:hint="eastAsia"/>
        </w:rPr>
        <w:t>第七章　　附　則</w:t>
      </w:r>
    </w:p>
    <w:p w14:paraId="147D37BF"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34</w:t>
      </w:r>
      <w:r w:rsidR="004F4B83">
        <w:rPr>
          <w:rFonts w:ascii="微軟正黑體" w:eastAsia="微軟正黑體" w:hAnsi="微軟正黑體" w:hint="eastAsia"/>
        </w:rPr>
        <w:t>條</w:t>
      </w:r>
    </w:p>
    <w:p w14:paraId="5EF56C30" w14:textId="30A1284A"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本法所稱金融機構，是指依法設立的從事金融業務的政策性銀行、商業銀行、信用合作社、郵政儲匯機構、信託投資公司、證券公司、期貨經紀公司、保險公司以及國務院反洗錢行政主管部門確定並公佈的從事金融業務的其他機構。</w:t>
      </w:r>
    </w:p>
    <w:p w14:paraId="775438F8"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35</w:t>
      </w:r>
      <w:r w:rsidR="004F4B83">
        <w:rPr>
          <w:rFonts w:ascii="微軟正黑體" w:eastAsia="微軟正黑體" w:hAnsi="微軟正黑體" w:hint="eastAsia"/>
        </w:rPr>
        <w:t>條</w:t>
      </w:r>
    </w:p>
    <w:p w14:paraId="410A2276" w14:textId="1AF964F3"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應當履行反洗錢義務的特定非金融機構的範圍、其履行反洗錢義務和對其監督管理的具體辦法，由國務院反洗錢行政主管部門會同國務院有關部門制定。</w:t>
      </w:r>
    </w:p>
    <w:p w14:paraId="47CC9C55"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36</w:t>
      </w:r>
      <w:r w:rsidR="004F4B83">
        <w:rPr>
          <w:rFonts w:ascii="微軟正黑體" w:eastAsia="微軟正黑體" w:hAnsi="微軟正黑體" w:hint="eastAsia"/>
        </w:rPr>
        <w:t>條</w:t>
      </w:r>
    </w:p>
    <w:p w14:paraId="67DFC707" w14:textId="1E8ABCC8"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對涉嫌恐怖活動資金的監控適用本法；其他法律另有規定的，適用其規定。</w:t>
      </w:r>
    </w:p>
    <w:p w14:paraId="3038075B" w14:textId="77777777" w:rsidR="004F4B83" w:rsidRDefault="00F46839" w:rsidP="008026D4">
      <w:pPr>
        <w:pStyle w:val="2"/>
        <w:rPr>
          <w:rFonts w:ascii="微軟正黑體" w:eastAsia="微軟正黑體" w:hAnsi="微軟正黑體" w:hint="eastAsia"/>
        </w:rPr>
      </w:pPr>
      <w:r w:rsidRPr="00365472">
        <w:rPr>
          <w:rFonts w:ascii="微軟正黑體" w:eastAsia="微軟正黑體" w:hAnsi="微軟正黑體" w:hint="eastAsia"/>
        </w:rPr>
        <w:t>第</w:t>
      </w:r>
      <w:r w:rsidR="008026D4" w:rsidRPr="00365472">
        <w:rPr>
          <w:rFonts w:ascii="微軟正黑體" w:eastAsia="微軟正黑體" w:hAnsi="微軟正黑體" w:hint="eastAsia"/>
        </w:rPr>
        <w:t>37</w:t>
      </w:r>
      <w:r w:rsidR="004F4B83">
        <w:rPr>
          <w:rFonts w:ascii="微軟正黑體" w:eastAsia="微軟正黑體" w:hAnsi="微軟正黑體" w:hint="eastAsia"/>
        </w:rPr>
        <w:t>條</w:t>
      </w:r>
    </w:p>
    <w:p w14:paraId="3ED8B808" w14:textId="0977884F" w:rsidR="00F46839" w:rsidRPr="00365472" w:rsidRDefault="004F4B83" w:rsidP="00F46839">
      <w:pPr>
        <w:ind w:left="119"/>
        <w:jc w:val="both"/>
        <w:rPr>
          <w:rFonts w:ascii="微軟正黑體" w:eastAsia="微軟正黑體" w:hAnsi="微軟正黑體"/>
          <w:color w:val="000000"/>
        </w:rPr>
      </w:pPr>
      <w:r w:rsidRPr="004F4B83">
        <w:rPr>
          <w:rFonts w:asciiTheme="minorHAnsi" w:eastAsia="微軟正黑體" w:hAnsiTheme="minorHAnsi" w:hint="eastAsia"/>
          <w:color w:val="404040" w:themeColor="text1" w:themeTint="BF"/>
          <w:sz w:val="16"/>
        </w:rPr>
        <w:t>﹝</w:t>
      </w:r>
      <w:r w:rsidRPr="004F4B83">
        <w:rPr>
          <w:rFonts w:asciiTheme="minorHAnsi" w:eastAsia="微軟正黑體" w:hAnsiTheme="minorHAnsi" w:hint="eastAsia"/>
          <w:color w:val="404040" w:themeColor="text1" w:themeTint="BF"/>
          <w:sz w:val="16"/>
        </w:rPr>
        <w:t>1</w:t>
      </w:r>
      <w:r w:rsidRPr="004F4B83">
        <w:rPr>
          <w:rFonts w:asciiTheme="minorHAnsi" w:eastAsia="微軟正黑體" w:hAnsiTheme="minorHAnsi" w:hint="eastAsia"/>
          <w:color w:val="404040" w:themeColor="text1" w:themeTint="BF"/>
          <w:sz w:val="16"/>
        </w:rPr>
        <w:t>﹞</w:t>
      </w:r>
      <w:r w:rsidR="00F46839" w:rsidRPr="00365472">
        <w:rPr>
          <w:rFonts w:ascii="微軟正黑體" w:eastAsia="微軟正黑體" w:hAnsi="微軟正黑體" w:hint="eastAsia"/>
          <w:color w:val="000000"/>
        </w:rPr>
        <w:t>本法自2007年1月1日起施行。</w:t>
      </w:r>
    </w:p>
    <w:p w14:paraId="1B18D204" w14:textId="77777777" w:rsidR="00F46839" w:rsidRPr="00365472" w:rsidRDefault="00F46839" w:rsidP="00F46839">
      <w:pPr>
        <w:ind w:left="119"/>
        <w:jc w:val="both"/>
        <w:rPr>
          <w:rFonts w:ascii="微軟正黑體" w:eastAsia="微軟正黑體" w:hAnsi="微軟正黑體"/>
          <w:color w:val="666699"/>
        </w:rPr>
      </w:pPr>
    </w:p>
    <w:p w14:paraId="223DA564" w14:textId="77777777" w:rsidR="00A26B47" w:rsidRPr="00365472" w:rsidRDefault="00A26B47" w:rsidP="00F46839">
      <w:pPr>
        <w:ind w:left="119"/>
        <w:jc w:val="both"/>
        <w:rPr>
          <w:rFonts w:ascii="微軟正黑體" w:eastAsia="微軟正黑體" w:hAnsi="微軟正黑體"/>
          <w:color w:val="666699"/>
        </w:rPr>
      </w:pPr>
    </w:p>
    <w:p w14:paraId="1D6D60F5" w14:textId="77777777" w:rsidR="00D05CA5" w:rsidRPr="00352001" w:rsidRDefault="00D05CA5" w:rsidP="00D05CA5">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D05CA5">
        <w:rPr>
          <w:rStyle w:val="a3"/>
          <w:rFonts w:ascii="微軟正黑體" w:eastAsia="微軟正黑體" w:hAnsi="微軟正黑體" w:hint="eastAsia"/>
          <w:sz w:val="18"/>
          <w:u w:val="none"/>
        </w:rPr>
        <w:t>〉〉</w:t>
      </w:r>
    </w:p>
    <w:p w14:paraId="082D6349" w14:textId="77777777" w:rsidR="00D05CA5" w:rsidRDefault="00D05CA5" w:rsidP="00D05CA5">
      <w:pPr>
        <w:jc w:val="both"/>
        <w:rPr>
          <w:rFonts w:ascii="微軟正黑體" w:eastAsia="微軟正黑體" w:hAnsi="微軟正黑體"/>
          <w:color w:val="5F5F5F"/>
          <w:sz w:val="18"/>
          <w:szCs w:val="20"/>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1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29FD9562" w14:textId="77777777" w:rsidR="00DB4ABA" w:rsidRPr="00D05CA5" w:rsidRDefault="00DB4ABA" w:rsidP="008026D4">
      <w:pPr>
        <w:ind w:firstLineChars="100" w:firstLine="200"/>
        <w:rPr>
          <w:rFonts w:ascii="微軟正黑體" w:eastAsia="微軟正黑體" w:hAnsi="微軟正黑體"/>
        </w:rPr>
      </w:pPr>
    </w:p>
    <w:sectPr w:rsidR="00DB4ABA" w:rsidRPr="00D05CA5">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E9A6" w14:textId="77777777" w:rsidR="00430D86" w:rsidRDefault="00430D86">
      <w:r>
        <w:separator/>
      </w:r>
    </w:p>
  </w:endnote>
  <w:endnote w:type="continuationSeparator" w:id="0">
    <w:p w14:paraId="6C4E82D4" w14:textId="77777777" w:rsidR="00430D86" w:rsidRDefault="0043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6B11" w14:textId="77777777" w:rsidR="00797B00" w:rsidRDefault="00797B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B043428" w14:textId="77777777" w:rsidR="00797B00" w:rsidRDefault="00797B0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9F9E" w14:textId="77777777" w:rsidR="00797B00" w:rsidRDefault="00797B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D6580">
      <w:rPr>
        <w:rStyle w:val="a7"/>
        <w:noProof/>
      </w:rPr>
      <w:t>1</w:t>
    </w:r>
    <w:r>
      <w:rPr>
        <w:rStyle w:val="a7"/>
      </w:rPr>
      <w:fldChar w:fldCharType="end"/>
    </w:r>
  </w:p>
  <w:p w14:paraId="1F67370F" w14:textId="5BA500A2" w:rsidR="00797B00" w:rsidRPr="00F84D95" w:rsidRDefault="00194770">
    <w:pPr>
      <w:pStyle w:val="a6"/>
      <w:ind w:right="360"/>
      <w:jc w:val="right"/>
      <w:rPr>
        <w:rFonts w:ascii="Arial Unicode MS" w:hAnsi="Arial Unicode MS"/>
        <w:sz w:val="18"/>
      </w:rPr>
    </w:pPr>
    <w:r>
      <w:rPr>
        <w:rFonts w:ascii="Arial Unicode MS" w:hAnsi="Arial Unicode MS" w:hint="eastAsia"/>
        <w:color w:val="000000"/>
        <w:sz w:val="18"/>
      </w:rPr>
      <w:t>〈〈</w:t>
    </w:r>
    <w:r w:rsidR="00797B00" w:rsidRPr="00F84D95">
      <w:rPr>
        <w:rFonts w:ascii="Arial Unicode MS" w:hAnsi="Arial Unicode MS" w:hint="eastAsia"/>
        <w:color w:val="000000"/>
        <w:sz w:val="18"/>
      </w:rPr>
      <w:t>中華人民共和國反洗錢法</w:t>
    </w:r>
    <w:r>
      <w:rPr>
        <w:rFonts w:ascii="Arial Unicode MS" w:hAnsi="Arial Unicode MS" w:hint="eastAsia"/>
        <w:color w:val="000000"/>
        <w:sz w:val="18"/>
      </w:rPr>
      <w:t>〉〉</w:t>
    </w:r>
    <w:r w:rsidR="00797B00" w:rsidRPr="00F84D95">
      <w:rPr>
        <w:rFonts w:ascii="Arial Unicode MS" w:hAnsi="Arial Unicode MS"/>
        <w:sz w:val="18"/>
      </w:rPr>
      <w:t>S</w:t>
    </w:r>
    <w:r w:rsidR="00797B00" w:rsidRPr="00F84D95">
      <w:rPr>
        <w:rFonts w:ascii="Arial Unicode MS" w:hAnsi="Arial Unicode MS" w:hint="eastAsia"/>
        <w:sz w:val="18"/>
      </w:rPr>
      <w:t xml:space="preserve">-link </w:t>
    </w:r>
    <w:r w:rsidR="00797B00" w:rsidRPr="00F84D95">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E848" w14:textId="77777777" w:rsidR="00430D86" w:rsidRDefault="00430D86">
      <w:r>
        <w:separator/>
      </w:r>
    </w:p>
  </w:footnote>
  <w:footnote w:type="continuationSeparator" w:id="0">
    <w:p w14:paraId="56626D79" w14:textId="77777777" w:rsidR="00430D86" w:rsidRDefault="0043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64E4"/>
    <w:rsid w:val="000460B7"/>
    <w:rsid w:val="000743EC"/>
    <w:rsid w:val="00080045"/>
    <w:rsid w:val="000A22A0"/>
    <w:rsid w:val="001113B5"/>
    <w:rsid w:val="0012021A"/>
    <w:rsid w:val="00156F6D"/>
    <w:rsid w:val="00187906"/>
    <w:rsid w:val="00194770"/>
    <w:rsid w:val="001D5B6D"/>
    <w:rsid w:val="001E1466"/>
    <w:rsid w:val="001E698B"/>
    <w:rsid w:val="001F4F28"/>
    <w:rsid w:val="00205A43"/>
    <w:rsid w:val="00216232"/>
    <w:rsid w:val="002A00C9"/>
    <w:rsid w:val="002B6268"/>
    <w:rsid w:val="00300378"/>
    <w:rsid w:val="00337DDA"/>
    <w:rsid w:val="00357771"/>
    <w:rsid w:val="00365472"/>
    <w:rsid w:val="00367403"/>
    <w:rsid w:val="003A098F"/>
    <w:rsid w:val="00400024"/>
    <w:rsid w:val="00425BD2"/>
    <w:rsid w:val="00430D86"/>
    <w:rsid w:val="00434129"/>
    <w:rsid w:val="004438D6"/>
    <w:rsid w:val="004B565F"/>
    <w:rsid w:val="004F4B83"/>
    <w:rsid w:val="004F61AA"/>
    <w:rsid w:val="00507C3E"/>
    <w:rsid w:val="00520589"/>
    <w:rsid w:val="005362B2"/>
    <w:rsid w:val="00547303"/>
    <w:rsid w:val="00564924"/>
    <w:rsid w:val="00593D8B"/>
    <w:rsid w:val="006327FE"/>
    <w:rsid w:val="00644D23"/>
    <w:rsid w:val="00657CE6"/>
    <w:rsid w:val="00671D16"/>
    <w:rsid w:val="006F39F6"/>
    <w:rsid w:val="006F4F17"/>
    <w:rsid w:val="00703C53"/>
    <w:rsid w:val="00706BEF"/>
    <w:rsid w:val="007132AA"/>
    <w:rsid w:val="00724184"/>
    <w:rsid w:val="007953F2"/>
    <w:rsid w:val="00797B00"/>
    <w:rsid w:val="008026D4"/>
    <w:rsid w:val="00826B78"/>
    <w:rsid w:val="008B3F55"/>
    <w:rsid w:val="008E3B75"/>
    <w:rsid w:val="008E4075"/>
    <w:rsid w:val="008F5B52"/>
    <w:rsid w:val="008F7B81"/>
    <w:rsid w:val="0094452D"/>
    <w:rsid w:val="00984DE9"/>
    <w:rsid w:val="009B3480"/>
    <w:rsid w:val="009D0211"/>
    <w:rsid w:val="009F6333"/>
    <w:rsid w:val="00A0153F"/>
    <w:rsid w:val="00A249E0"/>
    <w:rsid w:val="00A26B47"/>
    <w:rsid w:val="00A4219F"/>
    <w:rsid w:val="00A822F8"/>
    <w:rsid w:val="00A8721A"/>
    <w:rsid w:val="00AD7DE5"/>
    <w:rsid w:val="00AF0DF7"/>
    <w:rsid w:val="00B26BB2"/>
    <w:rsid w:val="00B67257"/>
    <w:rsid w:val="00B86C53"/>
    <w:rsid w:val="00B96031"/>
    <w:rsid w:val="00C17CC6"/>
    <w:rsid w:val="00C55973"/>
    <w:rsid w:val="00C645BB"/>
    <w:rsid w:val="00CD3C3B"/>
    <w:rsid w:val="00CE1E7E"/>
    <w:rsid w:val="00D05CA5"/>
    <w:rsid w:val="00D10FE6"/>
    <w:rsid w:val="00D46AE7"/>
    <w:rsid w:val="00D51F19"/>
    <w:rsid w:val="00D70BFB"/>
    <w:rsid w:val="00D7483F"/>
    <w:rsid w:val="00D759C3"/>
    <w:rsid w:val="00D93244"/>
    <w:rsid w:val="00DB4ABA"/>
    <w:rsid w:val="00DD6580"/>
    <w:rsid w:val="00E52397"/>
    <w:rsid w:val="00E57821"/>
    <w:rsid w:val="00E67B0E"/>
    <w:rsid w:val="00E70715"/>
    <w:rsid w:val="00E730E0"/>
    <w:rsid w:val="00E768CC"/>
    <w:rsid w:val="00E81CC7"/>
    <w:rsid w:val="00E9084A"/>
    <w:rsid w:val="00EA5287"/>
    <w:rsid w:val="00EA7D2E"/>
    <w:rsid w:val="00EB2515"/>
    <w:rsid w:val="00EC1757"/>
    <w:rsid w:val="00EC46C4"/>
    <w:rsid w:val="00ED290C"/>
    <w:rsid w:val="00EE53DC"/>
    <w:rsid w:val="00F11C83"/>
    <w:rsid w:val="00F2371C"/>
    <w:rsid w:val="00F26212"/>
    <w:rsid w:val="00F3074E"/>
    <w:rsid w:val="00F46839"/>
    <w:rsid w:val="00F52291"/>
    <w:rsid w:val="00F84D95"/>
    <w:rsid w:val="00FC5698"/>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FCF1709"/>
  <w15:docId w15:val="{7E2C4F24-B3B3-467B-AC47-C940A978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8026D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8026D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132AA"/>
    <w:rPr>
      <w:rFonts w:ascii="新細明體"/>
      <w:sz w:val="18"/>
      <w:szCs w:val="18"/>
    </w:rPr>
  </w:style>
  <w:style w:type="character" w:customStyle="1" w:styleId="a9">
    <w:name w:val="文件引導模式 字元"/>
    <w:link w:val="a8"/>
    <w:rsid w:val="007132AA"/>
    <w:rPr>
      <w:rFonts w:ascii="新細明體"/>
      <w:kern w:val="2"/>
      <w:sz w:val="18"/>
      <w:szCs w:val="18"/>
    </w:rPr>
  </w:style>
  <w:style w:type="character" w:customStyle="1" w:styleId="20">
    <w:name w:val="標題 2 字元"/>
    <w:link w:val="2"/>
    <w:rsid w:val="008026D4"/>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19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1453;&#27927;&#38065;&#27861;.docx" TargetMode="External"/><Relationship Id="rId5" Type="http://schemas.openxmlformats.org/officeDocument/2006/relationships/footnotes" Target="footnotes.xml"/><Relationship Id="rId15" Type="http://schemas.openxmlformats.org/officeDocument/2006/relationships/hyperlink" Target="../law-gb/&#20013;&#33775;&#20154;&#27665;&#20849;&#21644;&#22283;&#21009;&#20107;&#35380;&#35359;&#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453;&#27927;&#3766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8192049</vt:i4>
      </vt:variant>
      <vt:variant>
        <vt:i4>69</vt:i4>
      </vt:variant>
      <vt:variant>
        <vt:i4>0</vt:i4>
      </vt:variant>
      <vt:variant>
        <vt:i4>5</vt:i4>
      </vt:variant>
      <vt:variant>
        <vt:lpwstr>http://law.moj.gov.tw/</vt:lpwstr>
      </vt:variant>
      <vt:variant>
        <vt:lpwstr/>
      </vt:variant>
      <vt:variant>
        <vt:i4>6225996</vt:i4>
      </vt:variant>
      <vt:variant>
        <vt:i4>66</vt:i4>
      </vt:variant>
      <vt:variant>
        <vt:i4>0</vt:i4>
      </vt:variant>
      <vt:variant>
        <vt:i4>5</vt:i4>
      </vt:variant>
      <vt:variant>
        <vt:lpwstr>http://www.ly.gov.tw/</vt:lpwstr>
      </vt:variant>
      <vt:variant>
        <vt:lpwstr/>
      </vt:variant>
      <vt:variant>
        <vt:i4>786499</vt:i4>
      </vt:variant>
      <vt:variant>
        <vt:i4>63</vt:i4>
      </vt:variant>
      <vt:variant>
        <vt:i4>0</vt:i4>
      </vt:variant>
      <vt:variant>
        <vt:i4>5</vt:i4>
      </vt:variant>
      <vt:variant>
        <vt:lpwstr>http://www.president.gov.tw/</vt:lpwstr>
      </vt:variant>
      <vt:variant>
        <vt:lpwstr/>
      </vt:variant>
      <vt:variant>
        <vt:i4>7274612</vt:i4>
      </vt:variant>
      <vt:variant>
        <vt:i4>60</vt:i4>
      </vt:variant>
      <vt:variant>
        <vt:i4>0</vt:i4>
      </vt:variant>
      <vt:variant>
        <vt:i4>5</vt:i4>
      </vt:variant>
      <vt:variant>
        <vt:lpwstr/>
      </vt:variant>
      <vt:variant>
        <vt:lpwstr>top</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260424248</vt:i4>
      </vt:variant>
      <vt:variant>
        <vt:i4>48</vt:i4>
      </vt:variant>
      <vt:variant>
        <vt:i4>0</vt:i4>
      </vt:variant>
      <vt:variant>
        <vt:i4>5</vt:i4>
      </vt:variant>
      <vt:variant>
        <vt:lpwstr>中華人民共和國刑事訴訟法.doc</vt:lpwstr>
      </vt:variant>
      <vt:variant>
        <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30201927</vt:i4>
      </vt:variant>
      <vt:variant>
        <vt:i4>36</vt:i4>
      </vt:variant>
      <vt:variant>
        <vt:i4>0</vt:i4>
      </vt:variant>
      <vt:variant>
        <vt:i4>5</vt:i4>
      </vt:variant>
      <vt:variant>
        <vt:lpwstr/>
      </vt:variant>
      <vt:variant>
        <vt:lpwstr>_第七章__附_則</vt:lpwstr>
      </vt:variant>
      <vt:variant>
        <vt:i4>30207647</vt:i4>
      </vt:variant>
      <vt:variant>
        <vt:i4>33</vt:i4>
      </vt:variant>
      <vt:variant>
        <vt:i4>0</vt:i4>
      </vt:variant>
      <vt:variant>
        <vt:i4>5</vt:i4>
      </vt:variant>
      <vt:variant>
        <vt:lpwstr/>
      </vt:variant>
      <vt:variant>
        <vt:lpwstr>_第六章__法_律　責　任</vt:lpwstr>
      </vt:variant>
      <vt:variant>
        <vt:i4>1871124704</vt:i4>
      </vt:variant>
      <vt:variant>
        <vt:i4>30</vt:i4>
      </vt:variant>
      <vt:variant>
        <vt:i4>0</vt:i4>
      </vt:variant>
      <vt:variant>
        <vt:i4>5</vt:i4>
      </vt:variant>
      <vt:variant>
        <vt:lpwstr/>
      </vt:variant>
      <vt:variant>
        <vt:lpwstr>_第五章__反洗錢國際合作</vt:lpwstr>
      </vt:variant>
      <vt:variant>
        <vt:i4>-432302540</vt:i4>
      </vt:variant>
      <vt:variant>
        <vt:i4>27</vt:i4>
      </vt:variant>
      <vt:variant>
        <vt:i4>0</vt:i4>
      </vt:variant>
      <vt:variant>
        <vt:i4>5</vt:i4>
      </vt:variant>
      <vt:variant>
        <vt:lpwstr/>
      </vt:variant>
      <vt:variant>
        <vt:lpwstr>_第四章__反洗錢調查</vt:lpwstr>
      </vt:variant>
      <vt:variant>
        <vt:i4>-43289240</vt:i4>
      </vt:variant>
      <vt:variant>
        <vt:i4>24</vt:i4>
      </vt:variant>
      <vt:variant>
        <vt:i4>0</vt:i4>
      </vt:variant>
      <vt:variant>
        <vt:i4>5</vt:i4>
      </vt:variant>
      <vt:variant>
        <vt:lpwstr/>
      </vt:variant>
      <vt:variant>
        <vt:lpwstr>_第三章__金融機構反洗錢義務</vt:lpwstr>
      </vt:variant>
      <vt:variant>
        <vt:i4>1640429824</vt:i4>
      </vt:variant>
      <vt:variant>
        <vt:i4>21</vt:i4>
      </vt:variant>
      <vt:variant>
        <vt:i4>0</vt:i4>
      </vt:variant>
      <vt:variant>
        <vt:i4>5</vt:i4>
      </vt:variant>
      <vt:variant>
        <vt:lpwstr/>
      </vt:variant>
      <vt:variant>
        <vt:lpwstr>_第二章__反洗錢監督管理</vt:lpwstr>
      </vt:variant>
      <vt:variant>
        <vt:i4>1406414909</vt:i4>
      </vt:variant>
      <vt:variant>
        <vt:i4>18</vt:i4>
      </vt:variant>
      <vt:variant>
        <vt:i4>0</vt:i4>
      </vt:variant>
      <vt:variant>
        <vt:i4>5</vt:i4>
      </vt:variant>
      <vt:variant>
        <vt:lpwstr/>
      </vt:variant>
      <vt:variant>
        <vt:lpwstr>_第一章__總則</vt:lpwstr>
      </vt:variant>
      <vt:variant>
        <vt:i4>118717312</vt:i4>
      </vt:variant>
      <vt:variant>
        <vt:i4>15</vt:i4>
      </vt:variant>
      <vt:variant>
        <vt:i4>0</vt:i4>
      </vt:variant>
      <vt:variant>
        <vt:i4>5</vt:i4>
      </vt:variant>
      <vt:variant>
        <vt:lpwstr>http://www.6law.idv.tw/6law/law-gb/中華人民共和國反洗錢法.htm</vt:lpwstr>
      </vt:variant>
      <vt:variant>
        <vt:lpwstr/>
      </vt:variant>
      <vt:variant>
        <vt:i4>861088594</vt:i4>
      </vt:variant>
      <vt:variant>
        <vt:i4>12</vt:i4>
      </vt:variant>
      <vt:variant>
        <vt:i4>0</vt:i4>
      </vt:variant>
      <vt:variant>
        <vt:i4>5</vt:i4>
      </vt:variant>
      <vt:variant>
        <vt:lpwstr>../S-link大陸法規索引.doc</vt:lpwstr>
      </vt:variant>
      <vt:variant>
        <vt:lpwstr>中華人民共和國反洗錢法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中華人民共和國反洗錢法</dc:title>
  <dc:subject/>
  <dc:creator>S-link 電子六法-黃婉玲</dc:creator>
  <cp:keywords/>
  <dc:description/>
  <cp:lastModifiedBy>黃婉玲 S-link電子六法</cp:lastModifiedBy>
  <cp:revision>12</cp:revision>
  <dcterms:created xsi:type="dcterms:W3CDTF">2014-11-28T01:03:00Z</dcterms:created>
  <dcterms:modified xsi:type="dcterms:W3CDTF">2022-04-01T19:18:00Z</dcterms:modified>
</cp:coreProperties>
</file>