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5DA74" w14:textId="08EFD0BE" w:rsidR="008C40C5" w:rsidRPr="00072360" w:rsidRDefault="000B7450" w:rsidP="008C40C5">
      <w:pPr>
        <w:adjustRightInd w:val="0"/>
        <w:snapToGrid w:val="0"/>
        <w:ind w:rightChars="8" w:right="19"/>
        <w:jc w:val="right"/>
        <w:rPr>
          <w:rFonts w:ascii="微軟正黑體" w:eastAsia="微軟正黑體" w:hAnsi="微軟正黑體"/>
        </w:rPr>
      </w:pPr>
      <w:hyperlink r:id="rId7" w:history="1">
        <w:r w:rsidRPr="000B7450">
          <w:rPr>
            <w:rFonts w:ascii="微軟正黑體" w:eastAsia="微軟正黑體" w:hAnsi="微軟正黑體"/>
            <w:noProof/>
            <w:color w:val="5F5F5F"/>
            <w:sz w:val="18"/>
            <w:szCs w:val="20"/>
            <w:lang w:val="zh-TW"/>
          </w:rPr>
          <w:pict w14:anchorId="5F7AE6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7" type="#_x0000_t75" href="https://www.6laws.net/" style="width:32.6pt;height:32.6pt;visibility:visible;mso-wrap-style:square" o:button="t">
              <v:fill o:detectmouseclick="t"/>
              <v:imagedata r:id="rId8" o:title=""/>
            </v:shape>
          </w:pict>
        </w:r>
      </w:hyperlink>
    </w:p>
    <w:p w14:paraId="073A74E0" w14:textId="02D6B7C7" w:rsidR="008C40C5" w:rsidRPr="00072360" w:rsidRDefault="008C40C5" w:rsidP="008C40C5">
      <w:pPr>
        <w:adjustRightInd w:val="0"/>
        <w:snapToGrid w:val="0"/>
        <w:ind w:rightChars="8" w:right="19" w:firstLineChars="2880" w:firstLine="5184"/>
        <w:jc w:val="right"/>
        <w:textAlignment w:val="baseline"/>
        <w:rPr>
          <w:rFonts w:ascii="微軟正黑體" w:eastAsia="微軟正黑體" w:hAnsi="微軟正黑體"/>
          <w:b/>
          <w:color w:val="5F5F5F"/>
          <w:sz w:val="18"/>
        </w:rPr>
      </w:pPr>
      <w:bookmarkStart w:id="0" w:name="top"/>
      <w:bookmarkEnd w:id="0"/>
      <w:r w:rsidRPr="00072360">
        <w:rPr>
          <w:rFonts w:ascii="微軟正黑體" w:eastAsia="微軟正黑體" w:hAnsi="微軟正黑體" w:hint="eastAsia"/>
          <w:color w:val="5F5F5F"/>
          <w:sz w:val="18"/>
          <w:szCs w:val="20"/>
          <w:lang w:val="zh-TW"/>
        </w:rPr>
        <w:t>【</w:t>
      </w:r>
      <w:hyperlink r:id="rId9" w:tgtFrame="_blank" w:history="1">
        <w:r w:rsidRPr="00072360">
          <w:rPr>
            <w:rStyle w:val="a3"/>
            <w:rFonts w:ascii="微軟正黑體" w:eastAsia="微軟正黑體" w:hAnsi="微軟正黑體"/>
            <w:color w:val="5F5F5F"/>
            <w:sz w:val="18"/>
            <w:szCs w:val="20"/>
          </w:rPr>
          <w:t>更新</w:t>
        </w:r>
      </w:hyperlink>
      <w:r w:rsidRPr="00072360">
        <w:rPr>
          <w:rFonts w:ascii="微軟正黑體" w:eastAsia="微軟正黑體" w:hAnsi="微軟正黑體" w:hint="eastAsia"/>
          <w:color w:val="7F7F7F"/>
          <w:sz w:val="18"/>
          <w:szCs w:val="20"/>
          <w:lang w:val="zh-TW"/>
        </w:rPr>
        <w:t>】</w:t>
      </w:r>
      <w:bookmarkStart w:id="1" w:name="_Hlk98861106"/>
      <w:r w:rsidR="00B4132A" w:rsidRPr="005F2503">
        <w:rPr>
          <w:rFonts w:ascii="Segoe UI Emoji" w:eastAsia="微軟正黑體" w:hAnsi="Segoe UI Emoji" w:cs="Segoe UI Emoji"/>
          <w:kern w:val="0"/>
          <w:sz w:val="18"/>
        </w:rPr>
        <w:t>⏰</w:t>
      </w:r>
      <w:bookmarkEnd w:id="1"/>
      <w:r w:rsidR="00B4132A" w:rsidRPr="00CB06FC">
        <w:rPr>
          <w:sz w:val="18"/>
        </w:rPr>
        <w:t>2022/4/2</w:t>
      </w:r>
      <w:r w:rsidRPr="00072360">
        <w:rPr>
          <w:rFonts w:ascii="微軟正黑體" w:eastAsia="微軟正黑體" w:hAnsi="微軟正黑體" w:hint="eastAsia"/>
          <w:color w:val="7F7F7F"/>
          <w:sz w:val="18"/>
          <w:szCs w:val="20"/>
          <w:lang w:val="zh-TW"/>
        </w:rPr>
        <w:t>【</w:t>
      </w:r>
      <w:r w:rsidRPr="00072360">
        <w:rPr>
          <w:rFonts w:ascii="微軟正黑體" w:eastAsia="微軟正黑體" w:hAnsi="微軟正黑體" w:hint="eastAsia"/>
          <w:color w:val="7F7F7F"/>
          <w:sz w:val="18"/>
          <w:szCs w:val="20"/>
        </w:rPr>
        <w:t>編輯著作權者</w:t>
      </w:r>
      <w:r w:rsidRPr="00072360">
        <w:rPr>
          <w:rFonts w:ascii="微軟正黑體" w:eastAsia="微軟正黑體" w:hAnsi="微軟正黑體" w:hint="eastAsia"/>
          <w:color w:val="7F7F7F"/>
          <w:sz w:val="18"/>
          <w:szCs w:val="20"/>
          <w:lang w:val="zh-TW"/>
        </w:rPr>
        <w:t>】</w:t>
      </w:r>
      <w:hyperlink r:id="rId10" w:tgtFrame="_blank" w:history="1">
        <w:r w:rsidRPr="00072360">
          <w:rPr>
            <w:rStyle w:val="a3"/>
            <w:rFonts w:ascii="微軟正黑體" w:eastAsia="微軟正黑體" w:hAnsi="微軟正黑體"/>
            <w:color w:val="7F7F7F"/>
            <w:sz w:val="18"/>
            <w:szCs w:val="20"/>
          </w:rPr>
          <w:t>黃婉玲</w:t>
        </w:r>
      </w:hyperlink>
    </w:p>
    <w:p w14:paraId="68A27BF5" w14:textId="77777777" w:rsidR="008C40C5" w:rsidRPr="00072360" w:rsidRDefault="008C40C5" w:rsidP="008C40C5">
      <w:pPr>
        <w:ind w:rightChars="-66" w:right="-158" w:firstLineChars="2880" w:firstLine="5184"/>
        <w:jc w:val="right"/>
        <w:rPr>
          <w:rFonts w:ascii="微軟正黑體" w:eastAsia="微軟正黑體" w:hAnsi="微軟正黑體"/>
          <w:color w:val="808000"/>
          <w:sz w:val="18"/>
        </w:rPr>
      </w:pPr>
      <w:r w:rsidRPr="00072360">
        <w:rPr>
          <w:rFonts w:ascii="微軟正黑體" w:eastAsia="微軟正黑體" w:hAnsi="微軟正黑體" w:hint="eastAsia"/>
          <w:color w:val="808000"/>
          <w:sz w:val="18"/>
          <w:szCs w:val="20"/>
        </w:rPr>
        <w:t>（建議使用工具列--</w:t>
      </w:r>
      <w:r w:rsidR="009F4801" w:rsidRPr="00072360">
        <w:rPr>
          <w:rFonts w:ascii="微軟正黑體" w:eastAsia="微軟正黑體" w:hAnsi="微軟正黑體" w:hint="eastAsia"/>
          <w:color w:val="808000"/>
          <w:sz w:val="18"/>
          <w:szCs w:val="20"/>
        </w:rPr>
        <w:t>〉</w:t>
      </w:r>
      <w:r w:rsidRPr="00072360">
        <w:rPr>
          <w:rFonts w:ascii="微軟正黑體" w:eastAsia="微軟正黑體" w:hAnsi="微軟正黑體" w:hint="eastAsia"/>
          <w:color w:val="808000"/>
          <w:sz w:val="18"/>
          <w:szCs w:val="20"/>
        </w:rPr>
        <w:t>檢視--</w:t>
      </w:r>
      <w:r w:rsidR="009F4801" w:rsidRPr="00072360">
        <w:rPr>
          <w:rFonts w:ascii="微軟正黑體" w:eastAsia="微軟正黑體" w:hAnsi="微軟正黑體" w:hint="eastAsia"/>
          <w:color w:val="808000"/>
          <w:sz w:val="18"/>
          <w:szCs w:val="20"/>
        </w:rPr>
        <w:t>〉</w:t>
      </w:r>
      <w:r w:rsidRPr="00072360">
        <w:rPr>
          <w:rFonts w:ascii="微軟正黑體" w:eastAsia="微軟正黑體" w:hAnsi="微軟正黑體" w:hint="eastAsia"/>
          <w:color w:val="808000"/>
          <w:sz w:val="18"/>
          <w:szCs w:val="20"/>
        </w:rPr>
        <w:t>文件引導模式/功能窗格）</w:t>
      </w:r>
    </w:p>
    <w:p w14:paraId="3C7A43E4" w14:textId="74AA16D9" w:rsidR="002A00C9" w:rsidRPr="00072360" w:rsidRDefault="008C40C5" w:rsidP="008C40C5">
      <w:pPr>
        <w:ind w:rightChars="-66" w:right="-158" w:firstLineChars="2880" w:firstLine="5184"/>
        <w:jc w:val="right"/>
        <w:rPr>
          <w:rFonts w:ascii="微軟正黑體" w:eastAsia="微軟正黑體" w:hAnsi="微軟正黑體"/>
          <w:b/>
          <w:color w:val="5F5F5F"/>
          <w:sz w:val="18"/>
        </w:rPr>
      </w:pPr>
      <w:r w:rsidRPr="00072360">
        <w:rPr>
          <w:rFonts w:ascii="微軟正黑體" w:eastAsia="微軟正黑體" w:hAnsi="微軟正黑體" w:hint="eastAsia"/>
          <w:color w:val="FFFFFF"/>
          <w:sz w:val="18"/>
        </w:rPr>
        <w:t>‧</w:t>
      </w:r>
      <w:hyperlink r:id="rId11" w:history="1">
        <w:r w:rsidRPr="00072360">
          <w:rPr>
            <w:rStyle w:val="a3"/>
            <w:rFonts w:ascii="微軟正黑體" w:eastAsia="微軟正黑體" w:hAnsi="微軟正黑體" w:hint="eastAsia"/>
            <w:sz w:val="18"/>
          </w:rPr>
          <w:t>S-link總索引</w:t>
        </w:r>
      </w:hyperlink>
      <w:r w:rsidR="009F4801" w:rsidRPr="00072360">
        <w:rPr>
          <w:rFonts w:ascii="微軟正黑體" w:eastAsia="微軟正黑體" w:hAnsi="微軟正黑體" w:hint="eastAsia"/>
          <w:b/>
          <w:color w:val="808000"/>
          <w:sz w:val="18"/>
        </w:rPr>
        <w:t>〉〉</w:t>
      </w:r>
      <w:hyperlink r:id="rId12" w:anchor="中華人民共和國可再生能源法" w:history="1">
        <w:r w:rsidR="00641EB7">
          <w:rPr>
            <w:rStyle w:val="a3"/>
            <w:rFonts w:ascii="微軟正黑體" w:eastAsia="微軟正黑體" w:hAnsi="微軟正黑體" w:hint="eastAsia"/>
            <w:sz w:val="18"/>
          </w:rPr>
          <w:t>S-link中國法律法規索引</w:t>
        </w:r>
      </w:hyperlink>
      <w:r w:rsidR="009F4801" w:rsidRPr="00072360">
        <w:rPr>
          <w:rFonts w:ascii="微軟正黑體" w:eastAsia="微軟正黑體" w:hAnsi="微軟正黑體" w:hint="eastAsia"/>
          <w:b/>
          <w:color w:val="5F5F5F"/>
          <w:sz w:val="18"/>
        </w:rPr>
        <w:t>〉〉</w:t>
      </w:r>
      <w:hyperlink r:id="rId13" w:tgtFrame="_blank" w:history="1">
        <w:r w:rsidRPr="00072360">
          <w:rPr>
            <w:rStyle w:val="a3"/>
            <w:rFonts w:ascii="微軟正黑體" w:eastAsia="微軟正黑體" w:hAnsi="微軟正黑體" w:hint="eastAsia"/>
            <w:sz w:val="18"/>
          </w:rPr>
          <w:t>線上網頁版</w:t>
        </w:r>
      </w:hyperlink>
      <w:r w:rsidR="009F4801" w:rsidRPr="00072360">
        <w:rPr>
          <w:rFonts w:ascii="微軟正黑體" w:eastAsia="微軟正黑體" w:hAnsi="微軟正黑體" w:hint="eastAsia"/>
          <w:b/>
          <w:color w:val="5F5F5F"/>
          <w:sz w:val="18"/>
        </w:rPr>
        <w:t>〉〉</w:t>
      </w:r>
    </w:p>
    <w:p w14:paraId="398B4C28" w14:textId="77777777" w:rsidR="0060393C" w:rsidRPr="00072360" w:rsidRDefault="0060393C" w:rsidP="0060393C">
      <w:pPr>
        <w:ind w:rightChars="-66" w:right="-158" w:firstLineChars="2880" w:firstLine="5760"/>
        <w:jc w:val="right"/>
        <w:rPr>
          <w:rFonts w:ascii="微軟正黑體" w:eastAsia="微軟正黑體" w:hAnsi="微軟正黑體"/>
          <w:color w:val="666699"/>
          <w:sz w:val="20"/>
        </w:rPr>
      </w:pPr>
    </w:p>
    <w:p w14:paraId="2FF57B91" w14:textId="1A469658" w:rsidR="002A00C9" w:rsidRPr="00072360" w:rsidRDefault="000364E4" w:rsidP="007F3D75">
      <w:pPr>
        <w:rPr>
          <w:rFonts w:ascii="微軟正黑體" w:eastAsia="微軟正黑體" w:hAnsi="微軟正黑體"/>
          <w:b/>
          <w:bCs/>
          <w:color w:val="993300"/>
          <w:sz w:val="20"/>
        </w:rPr>
      </w:pPr>
      <w:r w:rsidRPr="00072360">
        <w:rPr>
          <w:rFonts w:ascii="微軟正黑體" w:eastAsia="微軟正黑體" w:hAnsi="微軟正黑體"/>
          <w:b/>
          <w:bCs/>
          <w:color w:val="990000"/>
          <w:sz w:val="20"/>
          <w:szCs w:val="20"/>
        </w:rPr>
        <w:t>【</w:t>
      </w:r>
      <w:r w:rsidR="00B65988" w:rsidRPr="00B65988">
        <w:rPr>
          <w:rFonts w:ascii="微軟正黑體" w:eastAsia="微軟正黑體" w:hAnsi="微軟正黑體" w:hint="eastAsia"/>
          <w:b/>
          <w:bCs/>
          <w:color w:val="990000"/>
          <w:sz w:val="20"/>
          <w:szCs w:val="20"/>
        </w:rPr>
        <w:t>法律法規</w:t>
      </w:r>
      <w:r w:rsidRPr="00072360">
        <w:rPr>
          <w:rFonts w:ascii="微軟正黑體" w:eastAsia="微軟正黑體" w:hAnsi="微軟正黑體"/>
          <w:b/>
          <w:bCs/>
          <w:color w:val="990000"/>
          <w:sz w:val="20"/>
          <w:szCs w:val="20"/>
        </w:rPr>
        <w:t>】</w:t>
      </w:r>
      <w:r w:rsidR="008941B3" w:rsidRPr="00072360">
        <w:rPr>
          <w:rFonts w:ascii="微軟正黑體" w:eastAsia="微軟正黑體" w:hAnsi="微軟正黑體" w:hint="eastAsia"/>
          <w:shadow/>
          <w:sz w:val="30"/>
          <w:szCs w:val="30"/>
        </w:rPr>
        <w:t>中華人民共和國可再生能源法</w:t>
      </w:r>
    </w:p>
    <w:p w14:paraId="779225C4" w14:textId="77777777" w:rsidR="002A00C9" w:rsidRPr="00072360" w:rsidRDefault="002A00C9" w:rsidP="00806F82">
      <w:pPr>
        <w:jc w:val="both"/>
        <w:rPr>
          <w:rFonts w:ascii="微軟正黑體" w:eastAsia="微軟正黑體" w:hAnsi="微軟正黑體"/>
          <w:color w:val="666699"/>
          <w:sz w:val="20"/>
        </w:rPr>
      </w:pPr>
      <w:r w:rsidRPr="00072360">
        <w:rPr>
          <w:rFonts w:ascii="微軟正黑體" w:eastAsia="微軟正黑體" w:hAnsi="微軟正黑體"/>
          <w:b/>
          <w:bCs/>
          <w:color w:val="990000"/>
          <w:sz w:val="20"/>
        </w:rPr>
        <w:t>【</w:t>
      </w:r>
      <w:r w:rsidRPr="00072360">
        <w:rPr>
          <w:rFonts w:ascii="微軟正黑體" w:eastAsia="微軟正黑體" w:hAnsi="微軟正黑體" w:hint="eastAsia"/>
          <w:b/>
          <w:bCs/>
          <w:color w:val="990000"/>
          <w:sz w:val="20"/>
        </w:rPr>
        <w:t>發布單位</w:t>
      </w:r>
      <w:r w:rsidRPr="00072360">
        <w:rPr>
          <w:rFonts w:ascii="微軟正黑體" w:eastAsia="微軟正黑體" w:hAnsi="微軟正黑體"/>
          <w:b/>
          <w:bCs/>
          <w:color w:val="990000"/>
          <w:sz w:val="20"/>
        </w:rPr>
        <w:t>】</w:t>
      </w:r>
      <w:r w:rsidR="00757F67" w:rsidRPr="00072360">
        <w:rPr>
          <w:rFonts w:ascii="微軟正黑體" w:eastAsia="微軟正黑體" w:hAnsi="微軟正黑體" w:hint="eastAsia"/>
          <w:sz w:val="20"/>
        </w:rPr>
        <w:t>全國人民代表大會常務委員會</w:t>
      </w:r>
    </w:p>
    <w:p w14:paraId="3CBFC3F8" w14:textId="77777777" w:rsidR="002A00C9" w:rsidRPr="00072360" w:rsidRDefault="002A00C9" w:rsidP="00806F82">
      <w:pPr>
        <w:jc w:val="both"/>
        <w:rPr>
          <w:rFonts w:ascii="微軟正黑體" w:eastAsia="微軟正黑體" w:hAnsi="微軟正黑體"/>
          <w:color w:val="993300"/>
          <w:sz w:val="20"/>
        </w:rPr>
      </w:pPr>
      <w:r w:rsidRPr="00072360">
        <w:rPr>
          <w:rFonts w:ascii="微軟正黑體" w:eastAsia="微軟正黑體" w:hAnsi="微軟正黑體"/>
          <w:b/>
          <w:bCs/>
          <w:color w:val="993300"/>
          <w:sz w:val="20"/>
        </w:rPr>
        <w:t>【</w:t>
      </w:r>
      <w:r w:rsidR="00722E21" w:rsidRPr="00072360">
        <w:rPr>
          <w:rFonts w:ascii="微軟正黑體" w:eastAsia="微軟正黑體" w:hAnsi="微軟正黑體" w:hint="eastAsia"/>
          <w:b/>
          <w:color w:val="990000"/>
          <w:kern w:val="0"/>
          <w:sz w:val="20"/>
          <w:szCs w:val="21"/>
        </w:rPr>
        <w:t>發布/修正</w:t>
      </w:r>
      <w:r w:rsidRPr="00072360">
        <w:rPr>
          <w:rFonts w:ascii="微軟正黑體" w:eastAsia="微軟正黑體" w:hAnsi="微軟正黑體"/>
          <w:b/>
          <w:bCs/>
          <w:color w:val="993300"/>
          <w:sz w:val="20"/>
        </w:rPr>
        <w:t>】</w:t>
      </w:r>
      <w:r w:rsidR="00757F67" w:rsidRPr="00072360">
        <w:rPr>
          <w:rFonts w:ascii="微軟正黑體" w:eastAsia="微軟正黑體" w:hAnsi="微軟正黑體" w:hint="eastAsia"/>
          <w:sz w:val="20"/>
        </w:rPr>
        <w:t>2009年12月26日</w:t>
      </w:r>
    </w:p>
    <w:p w14:paraId="23CDCD00" w14:textId="77777777" w:rsidR="002A00C9" w:rsidRPr="00072360" w:rsidRDefault="002A00C9" w:rsidP="00806F82">
      <w:pPr>
        <w:jc w:val="both"/>
        <w:rPr>
          <w:rFonts w:ascii="微軟正黑體" w:eastAsia="微軟正黑體" w:hAnsi="微軟正黑體"/>
          <w:sz w:val="20"/>
        </w:rPr>
      </w:pPr>
      <w:r w:rsidRPr="00072360">
        <w:rPr>
          <w:rFonts w:ascii="微軟正黑體" w:eastAsia="微軟正黑體" w:hAnsi="微軟正黑體"/>
          <w:b/>
          <w:bCs/>
          <w:color w:val="990000"/>
          <w:sz w:val="20"/>
        </w:rPr>
        <w:t>【</w:t>
      </w:r>
      <w:r w:rsidRPr="00072360">
        <w:rPr>
          <w:rFonts w:ascii="微軟正黑體" w:eastAsia="微軟正黑體" w:hAnsi="微軟正黑體" w:hint="eastAsia"/>
          <w:b/>
          <w:bCs/>
          <w:color w:val="990000"/>
          <w:sz w:val="20"/>
        </w:rPr>
        <w:t>實施日期</w:t>
      </w:r>
      <w:r w:rsidRPr="00072360">
        <w:rPr>
          <w:rFonts w:ascii="微軟正黑體" w:eastAsia="微軟正黑體" w:hAnsi="微軟正黑體"/>
          <w:b/>
          <w:bCs/>
          <w:color w:val="990000"/>
          <w:sz w:val="20"/>
        </w:rPr>
        <w:t>】</w:t>
      </w:r>
      <w:r w:rsidR="00757F67" w:rsidRPr="00072360">
        <w:rPr>
          <w:rFonts w:ascii="微軟正黑體" w:eastAsia="微軟正黑體" w:hAnsi="微軟正黑體" w:hint="eastAsia"/>
          <w:sz w:val="20"/>
        </w:rPr>
        <w:t>2010年4月1日</w:t>
      </w:r>
    </w:p>
    <w:p w14:paraId="293E2C8D" w14:textId="77777777" w:rsidR="009909C8" w:rsidRPr="00072360" w:rsidRDefault="009909C8" w:rsidP="00806F82">
      <w:pPr>
        <w:jc w:val="both"/>
        <w:rPr>
          <w:rFonts w:ascii="微軟正黑體" w:eastAsia="微軟正黑體" w:hAnsi="微軟正黑體"/>
          <w:b/>
          <w:bCs/>
          <w:color w:val="993300"/>
          <w:sz w:val="20"/>
          <w:szCs w:val="27"/>
        </w:rPr>
      </w:pPr>
    </w:p>
    <w:p w14:paraId="513FF5DD" w14:textId="77777777" w:rsidR="00A0153F" w:rsidRPr="00072360" w:rsidRDefault="001F4F28" w:rsidP="009909C8">
      <w:pPr>
        <w:pStyle w:val="1"/>
        <w:rPr>
          <w:rFonts w:ascii="微軟正黑體" w:eastAsia="微軟正黑體" w:hAnsi="微軟正黑體"/>
          <w:color w:val="990000"/>
        </w:rPr>
      </w:pPr>
      <w:r w:rsidRPr="00072360">
        <w:rPr>
          <w:rFonts w:ascii="微軟正黑體" w:eastAsia="微軟正黑體" w:hAnsi="微軟正黑體"/>
          <w:color w:val="990000"/>
        </w:rPr>
        <w:t>【</w:t>
      </w:r>
      <w:r w:rsidR="002A00C9" w:rsidRPr="00072360">
        <w:rPr>
          <w:rFonts w:ascii="微軟正黑體" w:eastAsia="微軟正黑體" w:hAnsi="微軟正黑體" w:hint="eastAsia"/>
          <w:color w:val="990000"/>
        </w:rPr>
        <w:t>法規沿革</w:t>
      </w:r>
      <w:r w:rsidR="002A00C9" w:rsidRPr="00072360">
        <w:rPr>
          <w:rFonts w:ascii="微軟正黑體" w:eastAsia="微軟正黑體" w:hAnsi="微軟正黑體"/>
          <w:color w:val="990000"/>
        </w:rPr>
        <w:t>】</w:t>
      </w:r>
    </w:p>
    <w:p w14:paraId="1DC7F48E" w14:textId="77777777" w:rsidR="008941B3" w:rsidRPr="00072360" w:rsidRDefault="008941B3" w:rsidP="00806F82">
      <w:pPr>
        <w:jc w:val="both"/>
        <w:rPr>
          <w:rFonts w:ascii="微軟正黑體" w:eastAsia="微軟正黑體" w:hAnsi="微軟正黑體"/>
          <w:sz w:val="18"/>
        </w:rPr>
      </w:pPr>
      <w:r w:rsidRPr="00072360">
        <w:rPr>
          <w:rFonts w:ascii="微軟正黑體" w:eastAsia="微軟正黑體" w:hAnsi="微軟正黑體" w:hint="eastAsia"/>
          <w:sz w:val="18"/>
        </w:rPr>
        <w:t>‧</w:t>
      </w:r>
      <w:r w:rsidR="00E06B6F" w:rsidRPr="00072360">
        <w:rPr>
          <w:rFonts w:ascii="微軟正黑體" w:eastAsia="微軟正黑體" w:hAnsi="微軟正黑體" w:hint="eastAsia"/>
          <w:sz w:val="18"/>
        </w:rPr>
        <w:t>2005</w:t>
      </w:r>
      <w:r w:rsidRPr="00072360">
        <w:rPr>
          <w:rFonts w:ascii="微軟正黑體" w:eastAsia="微軟正黑體" w:hAnsi="微軟正黑體" w:hint="eastAsia"/>
          <w:sz w:val="18"/>
        </w:rPr>
        <w:t>年</w:t>
      </w:r>
      <w:r w:rsidR="00E06B6F" w:rsidRPr="00072360">
        <w:rPr>
          <w:rFonts w:ascii="微軟正黑體" w:eastAsia="微軟正黑體" w:hAnsi="微軟正黑體" w:hint="eastAsia"/>
          <w:sz w:val="18"/>
        </w:rPr>
        <w:t>2</w:t>
      </w:r>
      <w:r w:rsidRPr="00072360">
        <w:rPr>
          <w:rFonts w:ascii="微軟正黑體" w:eastAsia="微軟正黑體" w:hAnsi="微軟正黑體" w:hint="eastAsia"/>
          <w:sz w:val="18"/>
        </w:rPr>
        <w:t>月</w:t>
      </w:r>
      <w:r w:rsidR="00E06B6F" w:rsidRPr="00072360">
        <w:rPr>
          <w:rFonts w:ascii="微軟正黑體" w:eastAsia="微軟正黑體" w:hAnsi="微軟正黑體" w:hint="eastAsia"/>
          <w:sz w:val="18"/>
        </w:rPr>
        <w:t>28</w:t>
      </w:r>
      <w:r w:rsidRPr="00072360">
        <w:rPr>
          <w:rFonts w:ascii="微軟正黑體" w:eastAsia="微軟正黑體" w:hAnsi="微軟正黑體" w:hint="eastAsia"/>
          <w:sz w:val="18"/>
        </w:rPr>
        <w:t>日第十屆全國人民代表大會常務委員會第十四次會議通過</w:t>
      </w:r>
    </w:p>
    <w:p w14:paraId="1AFDBA30" w14:textId="77777777" w:rsidR="00593D8B" w:rsidRPr="00072360" w:rsidRDefault="008941B3" w:rsidP="00806F82">
      <w:pPr>
        <w:jc w:val="both"/>
        <w:rPr>
          <w:rFonts w:ascii="微軟正黑體" w:eastAsia="微軟正黑體" w:hAnsi="微軟正黑體"/>
          <w:color w:val="666699"/>
          <w:sz w:val="18"/>
          <w:szCs w:val="18"/>
        </w:rPr>
      </w:pPr>
      <w:r w:rsidRPr="00072360">
        <w:rPr>
          <w:rFonts w:ascii="微軟正黑體" w:eastAsia="微軟正黑體" w:hAnsi="微軟正黑體" w:hint="eastAsia"/>
          <w:sz w:val="18"/>
        </w:rPr>
        <w:t>‧</w:t>
      </w:r>
      <w:r w:rsidR="0060393C" w:rsidRPr="00072360">
        <w:rPr>
          <w:rFonts w:ascii="微軟正黑體" w:eastAsia="微軟正黑體" w:hAnsi="微軟正黑體" w:hint="eastAsia"/>
          <w:sz w:val="18"/>
        </w:rPr>
        <w:t>2009年12月26日</w:t>
      </w:r>
      <w:r w:rsidRPr="00072360">
        <w:rPr>
          <w:rFonts w:ascii="微軟正黑體" w:eastAsia="微軟正黑體" w:hAnsi="微軟正黑體" w:hint="eastAsia"/>
          <w:sz w:val="18"/>
        </w:rPr>
        <w:t>中華人民共和國第十一屆全國人民代表大會常務委員會第十二次會議通過，自2010年4月1日起施行</w:t>
      </w:r>
    </w:p>
    <w:p w14:paraId="12DC8BAC" w14:textId="77777777" w:rsidR="00EA5287" w:rsidRPr="00072360" w:rsidRDefault="00EA5287" w:rsidP="00806F82">
      <w:pPr>
        <w:jc w:val="both"/>
        <w:rPr>
          <w:rFonts w:ascii="微軟正黑體" w:eastAsia="微軟正黑體" w:hAnsi="微軟正黑體"/>
          <w:b/>
          <w:color w:val="666699"/>
          <w:sz w:val="20"/>
        </w:rPr>
      </w:pPr>
    </w:p>
    <w:p w14:paraId="31E6FCDC" w14:textId="77777777" w:rsidR="00EC1757" w:rsidRPr="00072360" w:rsidRDefault="00EC1757" w:rsidP="009909C8">
      <w:pPr>
        <w:pStyle w:val="1"/>
        <w:rPr>
          <w:rFonts w:ascii="微軟正黑體" w:eastAsia="微軟正黑體" w:hAnsi="微軟正黑體"/>
          <w:color w:val="990000"/>
        </w:rPr>
      </w:pPr>
      <w:bookmarkStart w:id="2" w:name="aaa"/>
      <w:bookmarkEnd w:id="2"/>
      <w:r w:rsidRPr="00072360">
        <w:rPr>
          <w:rFonts w:ascii="微軟正黑體" w:eastAsia="微軟正黑體" w:hAnsi="微軟正黑體"/>
          <w:color w:val="990000"/>
        </w:rPr>
        <w:t>【</w:t>
      </w:r>
      <w:r w:rsidRPr="00072360">
        <w:rPr>
          <w:rFonts w:ascii="微軟正黑體" w:eastAsia="微軟正黑體" w:hAnsi="微軟正黑體" w:hint="eastAsia"/>
          <w:color w:val="990000"/>
        </w:rPr>
        <w:t>章節索引</w:t>
      </w:r>
      <w:r w:rsidRPr="00072360">
        <w:rPr>
          <w:rFonts w:ascii="微軟正黑體" w:eastAsia="微軟正黑體" w:hAnsi="微軟正黑體"/>
          <w:color w:val="990000"/>
        </w:rPr>
        <w:t>】</w:t>
      </w:r>
    </w:p>
    <w:p w14:paraId="057F4051" w14:textId="77777777" w:rsidR="00011872" w:rsidRPr="00072360" w:rsidRDefault="00011872" w:rsidP="00011872">
      <w:pPr>
        <w:ind w:left="142"/>
        <w:jc w:val="both"/>
        <w:rPr>
          <w:rFonts w:ascii="微軟正黑體" w:eastAsia="微軟正黑體" w:hAnsi="微軟正黑體"/>
          <w:color w:val="990000"/>
          <w:sz w:val="20"/>
        </w:rPr>
      </w:pPr>
      <w:r w:rsidRPr="00072360">
        <w:rPr>
          <w:rFonts w:ascii="微軟正黑體" w:eastAsia="微軟正黑體" w:hAnsi="微軟正黑體" w:hint="eastAsia"/>
          <w:color w:val="990000"/>
          <w:sz w:val="20"/>
        </w:rPr>
        <w:t>第一章</w:t>
      </w:r>
      <w:r w:rsidR="00CA10AA" w:rsidRPr="00072360">
        <w:rPr>
          <w:rFonts w:ascii="微軟正黑體" w:eastAsia="微軟正黑體" w:hAnsi="微軟正黑體" w:hint="eastAsia"/>
          <w:color w:val="990000"/>
          <w:sz w:val="20"/>
        </w:rPr>
        <w:t xml:space="preserve">　</w:t>
      </w:r>
      <w:hyperlink w:anchor="_第一章__總則" w:history="1">
        <w:r w:rsidRPr="00072360">
          <w:rPr>
            <w:rStyle w:val="a3"/>
            <w:rFonts w:ascii="微軟正黑體" w:eastAsia="微軟正黑體" w:hAnsi="微軟正黑體" w:hint="eastAsia"/>
          </w:rPr>
          <w:t>總則</w:t>
        </w:r>
      </w:hyperlink>
      <w:r w:rsidR="00757F67" w:rsidRPr="00072360">
        <w:rPr>
          <w:rFonts w:ascii="微軟正黑體" w:eastAsia="微軟正黑體" w:hAnsi="微軟正黑體" w:hint="eastAsia"/>
          <w:color w:val="990000"/>
          <w:sz w:val="20"/>
        </w:rPr>
        <w:t xml:space="preserve">　</w:t>
      </w:r>
      <w:r w:rsidR="00757F67" w:rsidRPr="00072360">
        <w:rPr>
          <w:rFonts w:ascii="微軟正黑體" w:eastAsia="微軟正黑體" w:hAnsi="微軟正黑體"/>
          <w:color w:val="990000"/>
          <w:sz w:val="20"/>
        </w:rPr>
        <w:t>§</w:t>
      </w:r>
      <w:r w:rsidR="00757F67" w:rsidRPr="00072360">
        <w:rPr>
          <w:rFonts w:ascii="微軟正黑體" w:eastAsia="微軟正黑體" w:hAnsi="微軟正黑體" w:hint="eastAsia"/>
          <w:color w:val="990000"/>
          <w:sz w:val="20"/>
        </w:rPr>
        <w:t>1</w:t>
      </w:r>
    </w:p>
    <w:p w14:paraId="7DD32655" w14:textId="77777777" w:rsidR="00011872" w:rsidRPr="00072360" w:rsidRDefault="00011872" w:rsidP="00011872">
      <w:pPr>
        <w:ind w:left="142"/>
        <w:jc w:val="both"/>
        <w:rPr>
          <w:rFonts w:ascii="微軟正黑體" w:eastAsia="微軟正黑體" w:hAnsi="微軟正黑體"/>
          <w:color w:val="990000"/>
          <w:sz w:val="20"/>
        </w:rPr>
      </w:pPr>
      <w:r w:rsidRPr="00072360">
        <w:rPr>
          <w:rFonts w:ascii="微軟正黑體" w:eastAsia="微軟正黑體" w:hAnsi="微軟正黑體" w:hint="eastAsia"/>
          <w:color w:val="990000"/>
          <w:sz w:val="20"/>
        </w:rPr>
        <w:t>第二章</w:t>
      </w:r>
      <w:r w:rsidR="00CA10AA" w:rsidRPr="00072360">
        <w:rPr>
          <w:rFonts w:ascii="微軟正黑體" w:eastAsia="微軟正黑體" w:hAnsi="微軟正黑體" w:hint="eastAsia"/>
          <w:color w:val="990000"/>
          <w:sz w:val="20"/>
        </w:rPr>
        <w:t xml:space="preserve">　</w:t>
      </w:r>
      <w:hyperlink w:anchor="_第二章__資源調查與發展規劃" w:history="1">
        <w:r w:rsidRPr="00072360">
          <w:rPr>
            <w:rStyle w:val="a3"/>
            <w:rFonts w:ascii="微軟正黑體" w:eastAsia="微軟正黑體" w:hAnsi="微軟正黑體" w:hint="eastAsia"/>
          </w:rPr>
          <w:t>資源調查與發展規劃</w:t>
        </w:r>
      </w:hyperlink>
      <w:r w:rsidR="00757F67" w:rsidRPr="00072360">
        <w:rPr>
          <w:rFonts w:ascii="微軟正黑體" w:eastAsia="微軟正黑體" w:hAnsi="微軟正黑體" w:hint="eastAsia"/>
          <w:color w:val="990000"/>
          <w:sz w:val="20"/>
        </w:rPr>
        <w:t xml:space="preserve">　</w:t>
      </w:r>
      <w:r w:rsidR="00757F67" w:rsidRPr="00072360">
        <w:rPr>
          <w:rFonts w:ascii="微軟正黑體" w:eastAsia="微軟正黑體" w:hAnsi="微軟正黑體"/>
          <w:color w:val="990000"/>
          <w:sz w:val="20"/>
        </w:rPr>
        <w:t>§</w:t>
      </w:r>
      <w:r w:rsidR="001A42CE" w:rsidRPr="00072360">
        <w:rPr>
          <w:rFonts w:ascii="微軟正黑體" w:eastAsia="微軟正黑體" w:hAnsi="微軟正黑體" w:hint="eastAsia"/>
          <w:color w:val="990000"/>
          <w:sz w:val="20"/>
        </w:rPr>
        <w:t>6</w:t>
      </w:r>
    </w:p>
    <w:p w14:paraId="287292F3" w14:textId="77777777" w:rsidR="00011872" w:rsidRPr="00072360" w:rsidRDefault="00011872" w:rsidP="00011872">
      <w:pPr>
        <w:ind w:left="142"/>
        <w:jc w:val="both"/>
        <w:rPr>
          <w:rFonts w:ascii="微軟正黑體" w:eastAsia="微軟正黑體" w:hAnsi="微軟正黑體"/>
          <w:color w:val="990000"/>
          <w:sz w:val="20"/>
        </w:rPr>
      </w:pPr>
      <w:r w:rsidRPr="00072360">
        <w:rPr>
          <w:rFonts w:ascii="微軟正黑體" w:eastAsia="微軟正黑體" w:hAnsi="微軟正黑體" w:hint="eastAsia"/>
          <w:color w:val="990000"/>
          <w:sz w:val="20"/>
        </w:rPr>
        <w:t>第三章</w:t>
      </w:r>
      <w:r w:rsidR="00CA10AA" w:rsidRPr="00072360">
        <w:rPr>
          <w:rFonts w:ascii="微軟正黑體" w:eastAsia="微軟正黑體" w:hAnsi="微軟正黑體" w:hint="eastAsia"/>
          <w:color w:val="990000"/>
          <w:sz w:val="20"/>
        </w:rPr>
        <w:t xml:space="preserve">　</w:t>
      </w:r>
      <w:hyperlink w:anchor="_第三章__產業指導與技術支持" w:history="1">
        <w:r w:rsidRPr="00072360">
          <w:rPr>
            <w:rStyle w:val="a3"/>
            <w:rFonts w:ascii="微軟正黑體" w:eastAsia="微軟正黑體" w:hAnsi="微軟正黑體" w:hint="eastAsia"/>
          </w:rPr>
          <w:t>產業指導與技術支持</w:t>
        </w:r>
      </w:hyperlink>
      <w:r w:rsidR="00757F67" w:rsidRPr="00072360">
        <w:rPr>
          <w:rFonts w:ascii="微軟正黑體" w:eastAsia="微軟正黑體" w:hAnsi="微軟正黑體" w:hint="eastAsia"/>
          <w:color w:val="990000"/>
          <w:sz w:val="20"/>
        </w:rPr>
        <w:t xml:space="preserve">　</w:t>
      </w:r>
      <w:r w:rsidR="00757F67" w:rsidRPr="00072360">
        <w:rPr>
          <w:rFonts w:ascii="微軟正黑體" w:eastAsia="微軟正黑體" w:hAnsi="微軟正黑體"/>
          <w:color w:val="990000"/>
          <w:sz w:val="20"/>
        </w:rPr>
        <w:t>§</w:t>
      </w:r>
      <w:r w:rsidR="00757F67" w:rsidRPr="00072360">
        <w:rPr>
          <w:rFonts w:ascii="微軟正黑體" w:eastAsia="微軟正黑體" w:hAnsi="微軟正黑體" w:hint="eastAsia"/>
          <w:color w:val="990000"/>
          <w:sz w:val="20"/>
        </w:rPr>
        <w:t>1</w:t>
      </w:r>
      <w:r w:rsidR="001A42CE" w:rsidRPr="00072360">
        <w:rPr>
          <w:rFonts w:ascii="微軟正黑體" w:eastAsia="微軟正黑體" w:hAnsi="微軟正黑體" w:hint="eastAsia"/>
          <w:color w:val="990000"/>
          <w:sz w:val="20"/>
        </w:rPr>
        <w:t>0</w:t>
      </w:r>
    </w:p>
    <w:p w14:paraId="4E7C48B9" w14:textId="77777777" w:rsidR="00011872" w:rsidRPr="00072360" w:rsidRDefault="00011872" w:rsidP="00011872">
      <w:pPr>
        <w:ind w:left="142"/>
        <w:jc w:val="both"/>
        <w:rPr>
          <w:rFonts w:ascii="微軟正黑體" w:eastAsia="微軟正黑體" w:hAnsi="微軟正黑體"/>
          <w:color w:val="990000"/>
          <w:sz w:val="20"/>
        </w:rPr>
      </w:pPr>
      <w:r w:rsidRPr="00072360">
        <w:rPr>
          <w:rFonts w:ascii="微軟正黑體" w:eastAsia="微軟正黑體" w:hAnsi="微軟正黑體" w:hint="eastAsia"/>
          <w:color w:val="990000"/>
          <w:sz w:val="20"/>
        </w:rPr>
        <w:t>第四章</w:t>
      </w:r>
      <w:r w:rsidR="00CA10AA" w:rsidRPr="00072360">
        <w:rPr>
          <w:rFonts w:ascii="微軟正黑體" w:eastAsia="微軟正黑體" w:hAnsi="微軟正黑體" w:hint="eastAsia"/>
          <w:color w:val="990000"/>
          <w:sz w:val="20"/>
        </w:rPr>
        <w:t xml:space="preserve">　</w:t>
      </w:r>
      <w:hyperlink w:anchor="_第四章__推廣與應用" w:history="1">
        <w:r w:rsidRPr="00072360">
          <w:rPr>
            <w:rStyle w:val="a3"/>
            <w:rFonts w:ascii="微軟正黑體" w:eastAsia="微軟正黑體" w:hAnsi="微軟正黑體" w:hint="eastAsia"/>
          </w:rPr>
          <w:t>推廣與應用</w:t>
        </w:r>
      </w:hyperlink>
      <w:r w:rsidR="00757F67" w:rsidRPr="00072360">
        <w:rPr>
          <w:rFonts w:ascii="微軟正黑體" w:eastAsia="微軟正黑體" w:hAnsi="微軟正黑體" w:hint="eastAsia"/>
          <w:color w:val="990000"/>
          <w:sz w:val="20"/>
        </w:rPr>
        <w:t xml:space="preserve">　</w:t>
      </w:r>
      <w:r w:rsidR="00757F67" w:rsidRPr="00072360">
        <w:rPr>
          <w:rFonts w:ascii="微軟正黑體" w:eastAsia="微軟正黑體" w:hAnsi="微軟正黑體"/>
          <w:color w:val="990000"/>
          <w:sz w:val="20"/>
        </w:rPr>
        <w:t>§</w:t>
      </w:r>
      <w:r w:rsidR="00757F67" w:rsidRPr="00072360">
        <w:rPr>
          <w:rFonts w:ascii="微軟正黑體" w:eastAsia="微軟正黑體" w:hAnsi="微軟正黑體" w:hint="eastAsia"/>
          <w:color w:val="990000"/>
          <w:sz w:val="20"/>
        </w:rPr>
        <w:t>1</w:t>
      </w:r>
      <w:r w:rsidR="001A42CE" w:rsidRPr="00072360">
        <w:rPr>
          <w:rFonts w:ascii="微軟正黑體" w:eastAsia="微軟正黑體" w:hAnsi="微軟正黑體" w:hint="eastAsia"/>
          <w:color w:val="990000"/>
          <w:sz w:val="20"/>
        </w:rPr>
        <w:t>3</w:t>
      </w:r>
    </w:p>
    <w:p w14:paraId="10FEAFE3" w14:textId="77777777" w:rsidR="00011872" w:rsidRPr="00072360" w:rsidRDefault="00011872" w:rsidP="00011872">
      <w:pPr>
        <w:ind w:left="142"/>
        <w:jc w:val="both"/>
        <w:rPr>
          <w:rFonts w:ascii="微軟正黑體" w:eastAsia="微軟正黑體" w:hAnsi="微軟正黑體"/>
          <w:color w:val="990000"/>
          <w:sz w:val="20"/>
        </w:rPr>
      </w:pPr>
      <w:r w:rsidRPr="00072360">
        <w:rPr>
          <w:rFonts w:ascii="微軟正黑體" w:eastAsia="微軟正黑體" w:hAnsi="微軟正黑體" w:hint="eastAsia"/>
          <w:color w:val="990000"/>
          <w:sz w:val="20"/>
        </w:rPr>
        <w:t>第五章</w:t>
      </w:r>
      <w:r w:rsidR="00CA10AA" w:rsidRPr="00072360">
        <w:rPr>
          <w:rFonts w:ascii="微軟正黑體" w:eastAsia="微軟正黑體" w:hAnsi="微軟正黑體" w:hint="eastAsia"/>
          <w:color w:val="990000"/>
          <w:sz w:val="20"/>
        </w:rPr>
        <w:t xml:space="preserve">　</w:t>
      </w:r>
      <w:hyperlink w:anchor="_第五章__價格管理與費用補償" w:history="1">
        <w:r w:rsidRPr="00072360">
          <w:rPr>
            <w:rStyle w:val="a3"/>
            <w:rFonts w:ascii="微軟正黑體" w:eastAsia="微軟正黑體" w:hAnsi="微軟正黑體" w:hint="eastAsia"/>
          </w:rPr>
          <w:t>價格管理與費用補償</w:t>
        </w:r>
      </w:hyperlink>
      <w:r w:rsidR="00757F67" w:rsidRPr="00072360">
        <w:rPr>
          <w:rFonts w:ascii="微軟正黑體" w:eastAsia="微軟正黑體" w:hAnsi="微軟正黑體" w:hint="eastAsia"/>
          <w:color w:val="990000"/>
          <w:sz w:val="20"/>
        </w:rPr>
        <w:t xml:space="preserve">　</w:t>
      </w:r>
      <w:r w:rsidR="00757F67" w:rsidRPr="00072360">
        <w:rPr>
          <w:rFonts w:ascii="微軟正黑體" w:eastAsia="微軟正黑體" w:hAnsi="微軟正黑體"/>
          <w:color w:val="990000"/>
          <w:sz w:val="20"/>
        </w:rPr>
        <w:t>§</w:t>
      </w:r>
      <w:r w:rsidR="00757F67" w:rsidRPr="00072360">
        <w:rPr>
          <w:rFonts w:ascii="微軟正黑體" w:eastAsia="微軟正黑體" w:hAnsi="微軟正黑體" w:hint="eastAsia"/>
          <w:color w:val="990000"/>
          <w:sz w:val="20"/>
        </w:rPr>
        <w:t>1</w:t>
      </w:r>
      <w:r w:rsidR="001A42CE" w:rsidRPr="00072360">
        <w:rPr>
          <w:rFonts w:ascii="微軟正黑體" w:eastAsia="微軟正黑體" w:hAnsi="微軟正黑體" w:hint="eastAsia"/>
          <w:color w:val="990000"/>
          <w:sz w:val="20"/>
        </w:rPr>
        <w:t>9</w:t>
      </w:r>
    </w:p>
    <w:p w14:paraId="15AE404E" w14:textId="77777777" w:rsidR="00011872" w:rsidRPr="00072360" w:rsidRDefault="00011872" w:rsidP="00011872">
      <w:pPr>
        <w:ind w:left="142"/>
        <w:jc w:val="both"/>
        <w:rPr>
          <w:rFonts w:ascii="微軟正黑體" w:eastAsia="微軟正黑體" w:hAnsi="微軟正黑體"/>
          <w:color w:val="990000"/>
          <w:sz w:val="20"/>
        </w:rPr>
      </w:pPr>
      <w:r w:rsidRPr="00072360">
        <w:rPr>
          <w:rFonts w:ascii="微軟正黑體" w:eastAsia="微軟正黑體" w:hAnsi="微軟正黑體" w:hint="eastAsia"/>
          <w:color w:val="990000"/>
          <w:sz w:val="20"/>
        </w:rPr>
        <w:t>第六章</w:t>
      </w:r>
      <w:r w:rsidR="00CA10AA" w:rsidRPr="00072360">
        <w:rPr>
          <w:rFonts w:ascii="微軟正黑體" w:eastAsia="微軟正黑體" w:hAnsi="微軟正黑體" w:hint="eastAsia"/>
          <w:color w:val="990000"/>
          <w:sz w:val="20"/>
        </w:rPr>
        <w:t xml:space="preserve">　</w:t>
      </w:r>
      <w:hyperlink w:anchor="_第六章__經濟激勵與監督措施" w:history="1">
        <w:r w:rsidRPr="00072360">
          <w:rPr>
            <w:rStyle w:val="a3"/>
            <w:rFonts w:ascii="微軟正黑體" w:eastAsia="微軟正黑體" w:hAnsi="微軟正黑體" w:hint="eastAsia"/>
          </w:rPr>
          <w:t>經濟激勵與監督措施</w:t>
        </w:r>
      </w:hyperlink>
      <w:r w:rsidR="00757F67" w:rsidRPr="00072360">
        <w:rPr>
          <w:rFonts w:ascii="微軟正黑體" w:eastAsia="微軟正黑體" w:hAnsi="微軟正黑體" w:hint="eastAsia"/>
          <w:color w:val="990000"/>
          <w:sz w:val="20"/>
        </w:rPr>
        <w:t xml:space="preserve">　</w:t>
      </w:r>
      <w:r w:rsidR="00757F67" w:rsidRPr="00072360">
        <w:rPr>
          <w:rFonts w:ascii="微軟正黑體" w:eastAsia="微軟正黑體" w:hAnsi="微軟正黑體"/>
          <w:color w:val="990000"/>
          <w:sz w:val="20"/>
        </w:rPr>
        <w:t>§</w:t>
      </w:r>
      <w:r w:rsidR="001A42CE" w:rsidRPr="00072360">
        <w:rPr>
          <w:rFonts w:ascii="微軟正黑體" w:eastAsia="微軟正黑體" w:hAnsi="微軟正黑體" w:hint="eastAsia"/>
          <w:color w:val="990000"/>
          <w:sz w:val="20"/>
        </w:rPr>
        <w:t>24</w:t>
      </w:r>
    </w:p>
    <w:p w14:paraId="58E5A396" w14:textId="77777777" w:rsidR="00011872" w:rsidRPr="00072360" w:rsidRDefault="00011872" w:rsidP="00011872">
      <w:pPr>
        <w:ind w:left="142"/>
        <w:jc w:val="both"/>
        <w:rPr>
          <w:rFonts w:ascii="微軟正黑體" w:eastAsia="微軟正黑體" w:hAnsi="微軟正黑體"/>
          <w:color w:val="990000"/>
          <w:sz w:val="20"/>
        </w:rPr>
      </w:pPr>
      <w:r w:rsidRPr="00072360">
        <w:rPr>
          <w:rFonts w:ascii="微軟正黑體" w:eastAsia="微軟正黑體" w:hAnsi="微軟正黑體" w:hint="eastAsia"/>
          <w:color w:val="990000"/>
          <w:sz w:val="20"/>
        </w:rPr>
        <w:t>第七章</w:t>
      </w:r>
      <w:r w:rsidR="00CA10AA" w:rsidRPr="00072360">
        <w:rPr>
          <w:rFonts w:ascii="微軟正黑體" w:eastAsia="微軟正黑體" w:hAnsi="微軟正黑體" w:hint="eastAsia"/>
          <w:color w:val="990000"/>
          <w:sz w:val="20"/>
        </w:rPr>
        <w:t xml:space="preserve">　</w:t>
      </w:r>
      <w:hyperlink w:anchor="_第七章__法律責任" w:history="1">
        <w:r w:rsidR="001A42CE" w:rsidRPr="00072360">
          <w:rPr>
            <w:rStyle w:val="a3"/>
            <w:rFonts w:ascii="微軟正黑體" w:eastAsia="微軟正黑體" w:hAnsi="微軟正黑體" w:hint="eastAsia"/>
          </w:rPr>
          <w:t>法律責任</w:t>
        </w:r>
      </w:hyperlink>
      <w:r w:rsidR="00757F67" w:rsidRPr="00072360">
        <w:rPr>
          <w:rFonts w:ascii="微軟正黑體" w:eastAsia="微軟正黑體" w:hAnsi="微軟正黑體" w:hint="eastAsia"/>
          <w:color w:val="990000"/>
          <w:sz w:val="20"/>
        </w:rPr>
        <w:t xml:space="preserve">　</w:t>
      </w:r>
      <w:r w:rsidR="00757F67" w:rsidRPr="00072360">
        <w:rPr>
          <w:rFonts w:ascii="微軟正黑體" w:eastAsia="微軟正黑體" w:hAnsi="微軟正黑體"/>
          <w:color w:val="990000"/>
          <w:sz w:val="20"/>
        </w:rPr>
        <w:t>§</w:t>
      </w:r>
      <w:r w:rsidR="001A42CE" w:rsidRPr="00072360">
        <w:rPr>
          <w:rFonts w:ascii="微軟正黑體" w:eastAsia="微軟正黑體" w:hAnsi="微軟正黑體" w:hint="eastAsia"/>
          <w:color w:val="990000"/>
          <w:sz w:val="20"/>
        </w:rPr>
        <w:t>28</w:t>
      </w:r>
    </w:p>
    <w:p w14:paraId="7CC1949E" w14:textId="77777777" w:rsidR="00011872" w:rsidRPr="00072360" w:rsidRDefault="00011872" w:rsidP="00011872">
      <w:pPr>
        <w:ind w:left="142"/>
        <w:jc w:val="both"/>
        <w:rPr>
          <w:rFonts w:ascii="微軟正黑體" w:eastAsia="微軟正黑體" w:hAnsi="微軟正黑體"/>
          <w:color w:val="990000"/>
          <w:sz w:val="20"/>
        </w:rPr>
      </w:pPr>
      <w:r w:rsidRPr="00072360">
        <w:rPr>
          <w:rFonts w:ascii="微軟正黑體" w:eastAsia="微軟正黑體" w:hAnsi="微軟正黑體" w:hint="eastAsia"/>
          <w:color w:val="990000"/>
          <w:sz w:val="20"/>
        </w:rPr>
        <w:t>第八章</w:t>
      </w:r>
      <w:r w:rsidR="00CA10AA" w:rsidRPr="00072360">
        <w:rPr>
          <w:rFonts w:ascii="微軟正黑體" w:eastAsia="微軟正黑體" w:hAnsi="微軟正黑體" w:hint="eastAsia"/>
          <w:color w:val="990000"/>
          <w:sz w:val="20"/>
        </w:rPr>
        <w:t xml:space="preserve">　</w:t>
      </w:r>
      <w:hyperlink w:anchor="_第八章__附則" w:history="1">
        <w:r w:rsidRPr="00072360">
          <w:rPr>
            <w:rStyle w:val="a3"/>
            <w:rFonts w:ascii="微軟正黑體" w:eastAsia="微軟正黑體" w:hAnsi="微軟正黑體" w:hint="eastAsia"/>
          </w:rPr>
          <w:t>附則</w:t>
        </w:r>
      </w:hyperlink>
      <w:r w:rsidR="00757F67" w:rsidRPr="00072360">
        <w:rPr>
          <w:rFonts w:ascii="微軟正黑體" w:eastAsia="微軟正黑體" w:hAnsi="微軟正黑體" w:hint="eastAsia"/>
          <w:color w:val="990000"/>
          <w:sz w:val="20"/>
        </w:rPr>
        <w:t xml:space="preserve">　</w:t>
      </w:r>
      <w:r w:rsidR="00757F67" w:rsidRPr="00072360">
        <w:rPr>
          <w:rFonts w:ascii="微軟正黑體" w:eastAsia="微軟正黑體" w:hAnsi="微軟正黑體"/>
          <w:color w:val="990000"/>
          <w:sz w:val="20"/>
        </w:rPr>
        <w:t>§</w:t>
      </w:r>
      <w:r w:rsidR="001A42CE" w:rsidRPr="00072360">
        <w:rPr>
          <w:rFonts w:ascii="微軟正黑體" w:eastAsia="微軟正黑體" w:hAnsi="微軟正黑體" w:hint="eastAsia"/>
          <w:color w:val="990000"/>
          <w:sz w:val="20"/>
        </w:rPr>
        <w:t>32</w:t>
      </w:r>
    </w:p>
    <w:p w14:paraId="296F7D84" w14:textId="77777777" w:rsidR="008941B3" w:rsidRPr="00072360" w:rsidRDefault="008941B3" w:rsidP="00011872">
      <w:pPr>
        <w:ind w:left="142"/>
        <w:jc w:val="both"/>
        <w:rPr>
          <w:rFonts w:ascii="微軟正黑體" w:eastAsia="微軟正黑體" w:hAnsi="微軟正黑體"/>
          <w:sz w:val="20"/>
        </w:rPr>
      </w:pPr>
    </w:p>
    <w:p w14:paraId="352EFE35" w14:textId="09407E60" w:rsidR="00011872" w:rsidRPr="00072360" w:rsidRDefault="007561CE" w:rsidP="009909C8">
      <w:pPr>
        <w:pStyle w:val="1"/>
        <w:rPr>
          <w:rFonts w:ascii="微軟正黑體" w:eastAsia="微軟正黑體" w:hAnsi="微軟正黑體"/>
          <w:color w:val="990000"/>
        </w:rPr>
      </w:pPr>
      <w:r>
        <w:rPr>
          <w:rFonts w:ascii="微軟正黑體" w:eastAsia="微軟正黑體" w:hAnsi="微軟正黑體"/>
          <w:color w:val="990000"/>
        </w:rPr>
        <w:t>【法規內容】</w:t>
      </w:r>
    </w:p>
    <w:p w14:paraId="66DAF525" w14:textId="77777777" w:rsidR="00011872" w:rsidRPr="00072360" w:rsidRDefault="00011872" w:rsidP="009909C8">
      <w:pPr>
        <w:pStyle w:val="1"/>
        <w:rPr>
          <w:rFonts w:ascii="微軟正黑體" w:eastAsia="微軟正黑體" w:hAnsi="微軟正黑體"/>
        </w:rPr>
      </w:pPr>
      <w:bookmarkStart w:id="3" w:name="_第一章__總則"/>
      <w:bookmarkEnd w:id="3"/>
      <w:r w:rsidRPr="00072360">
        <w:rPr>
          <w:rFonts w:ascii="微軟正黑體" w:eastAsia="微軟正黑體" w:hAnsi="微軟正黑體" w:hint="eastAsia"/>
        </w:rPr>
        <w:t>第一章</w:t>
      </w:r>
      <w:r w:rsidR="00CA10AA" w:rsidRPr="00072360">
        <w:rPr>
          <w:rFonts w:ascii="微軟正黑體" w:eastAsia="微軟正黑體" w:hAnsi="微軟正黑體" w:hint="eastAsia"/>
        </w:rPr>
        <w:t xml:space="preserve">　　</w:t>
      </w:r>
      <w:r w:rsidRPr="00072360">
        <w:rPr>
          <w:rFonts w:ascii="微軟正黑體" w:eastAsia="微軟正黑體" w:hAnsi="微軟正黑體" w:hint="eastAsia"/>
        </w:rPr>
        <w:t>總</w:t>
      </w:r>
      <w:r w:rsidR="009909C8" w:rsidRPr="00072360">
        <w:rPr>
          <w:rFonts w:ascii="微軟正黑體" w:eastAsia="微軟正黑體" w:hAnsi="微軟正黑體" w:hint="eastAsia"/>
        </w:rPr>
        <w:t xml:space="preserve">　</w:t>
      </w:r>
      <w:r w:rsidRPr="00072360">
        <w:rPr>
          <w:rFonts w:ascii="微軟正黑體" w:eastAsia="微軟正黑體" w:hAnsi="微軟正黑體" w:hint="eastAsia"/>
        </w:rPr>
        <w:t>則</w:t>
      </w:r>
    </w:p>
    <w:p w14:paraId="5C8989CA" w14:textId="77777777" w:rsidR="007561CE" w:rsidRDefault="00011872" w:rsidP="009909C8">
      <w:pPr>
        <w:pStyle w:val="2"/>
        <w:rPr>
          <w:rFonts w:ascii="微軟正黑體" w:eastAsia="微軟正黑體" w:hAnsi="微軟正黑體" w:hint="eastAsia"/>
        </w:rPr>
      </w:pPr>
      <w:r w:rsidRPr="00072360">
        <w:rPr>
          <w:rFonts w:ascii="微軟正黑體" w:eastAsia="微軟正黑體" w:hAnsi="微軟正黑體" w:hint="eastAsia"/>
        </w:rPr>
        <w:t>第</w:t>
      </w:r>
      <w:r w:rsidR="009C5241" w:rsidRPr="00072360">
        <w:rPr>
          <w:rFonts w:ascii="微軟正黑體" w:eastAsia="微軟正黑體" w:hAnsi="微軟正黑體" w:hint="eastAsia"/>
        </w:rPr>
        <w:t>1</w:t>
      </w:r>
      <w:r w:rsidR="007561CE">
        <w:rPr>
          <w:rFonts w:ascii="微軟正黑體" w:eastAsia="微軟正黑體" w:hAnsi="微軟正黑體" w:hint="eastAsia"/>
        </w:rPr>
        <w:t>條</w:t>
      </w:r>
    </w:p>
    <w:p w14:paraId="5FC36780" w14:textId="19D05538" w:rsidR="00011872"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為了促進可再生能源的開發利用，增加能源供應，改善能源結構，保障能源安全，保護環境，實現經濟社會的可持續發展，制定本法</w:t>
      </w:r>
      <w:r w:rsidR="00595037" w:rsidRPr="00072360">
        <w:rPr>
          <w:rFonts w:ascii="微軟正黑體" w:eastAsia="微軟正黑體" w:hAnsi="微軟正黑體" w:hint="eastAsia"/>
          <w:sz w:val="20"/>
        </w:rPr>
        <w:t>。</w:t>
      </w:r>
    </w:p>
    <w:p w14:paraId="69F42D4C" w14:textId="77777777" w:rsidR="007561CE" w:rsidRDefault="00011872" w:rsidP="009909C8">
      <w:pPr>
        <w:pStyle w:val="2"/>
        <w:rPr>
          <w:rFonts w:ascii="微軟正黑體" w:eastAsia="微軟正黑體" w:hAnsi="微軟正黑體" w:hint="eastAsia"/>
        </w:rPr>
      </w:pPr>
      <w:r w:rsidRPr="00072360">
        <w:rPr>
          <w:rFonts w:ascii="微軟正黑體" w:eastAsia="微軟正黑體" w:hAnsi="微軟正黑體" w:hint="eastAsia"/>
        </w:rPr>
        <w:t>第</w:t>
      </w:r>
      <w:r w:rsidR="009C5241" w:rsidRPr="00072360">
        <w:rPr>
          <w:rFonts w:ascii="微軟正黑體" w:eastAsia="微軟正黑體" w:hAnsi="微軟正黑體" w:hint="eastAsia"/>
        </w:rPr>
        <w:t>2</w:t>
      </w:r>
      <w:r w:rsidR="007561CE">
        <w:rPr>
          <w:rFonts w:ascii="微軟正黑體" w:eastAsia="微軟正黑體" w:hAnsi="微軟正黑體" w:hint="eastAsia"/>
        </w:rPr>
        <w:t>條</w:t>
      </w:r>
    </w:p>
    <w:p w14:paraId="5339F129" w14:textId="08F03DAB"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本法所稱可再生能源，是指風能、太陽能、水能、生物質能、地熱能、海洋能等非化石能源</w:t>
      </w:r>
      <w:r>
        <w:rPr>
          <w:rFonts w:ascii="微軟正黑體" w:eastAsia="微軟正黑體" w:hAnsi="微軟正黑體" w:hint="eastAsia"/>
          <w:sz w:val="20"/>
        </w:rPr>
        <w:t>。</w:t>
      </w:r>
    </w:p>
    <w:p w14:paraId="3E51281D" w14:textId="16E76940"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2</w:t>
      </w:r>
      <w:r w:rsidRPr="00A80C31">
        <w:rPr>
          <w:rFonts w:ascii="Calibri" w:eastAsia="微軟正黑體" w:hAnsi="Calibri" w:hint="eastAsia"/>
          <w:color w:val="404040"/>
          <w:sz w:val="16"/>
        </w:rPr>
        <w:t>﹞</w:t>
      </w:r>
      <w:r w:rsidRPr="00072360">
        <w:rPr>
          <w:rFonts w:ascii="微軟正黑體" w:eastAsia="微軟正黑體" w:hAnsi="微軟正黑體" w:hint="eastAsia"/>
          <w:color w:val="17365D"/>
          <w:sz w:val="20"/>
        </w:rPr>
        <w:t>水力發電對本法的適用，由國務院能源主管部門規定，報國務院批准</w:t>
      </w:r>
      <w:r>
        <w:rPr>
          <w:rFonts w:ascii="微軟正黑體" w:eastAsia="微軟正黑體" w:hAnsi="微軟正黑體" w:hint="eastAsia"/>
          <w:sz w:val="20"/>
        </w:rPr>
        <w:t>。</w:t>
      </w:r>
    </w:p>
    <w:p w14:paraId="615739FA" w14:textId="4D23E6E9" w:rsidR="00011872"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3</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通過低效率爐灶直接燃燒方式利用秸稈、薪柴、糞便等，不適用本法</w:t>
      </w:r>
      <w:r w:rsidR="00595037" w:rsidRPr="00072360">
        <w:rPr>
          <w:rFonts w:ascii="微軟正黑體" w:eastAsia="微軟正黑體" w:hAnsi="微軟正黑體" w:hint="eastAsia"/>
          <w:sz w:val="20"/>
        </w:rPr>
        <w:t>。</w:t>
      </w:r>
    </w:p>
    <w:p w14:paraId="3DB0E469" w14:textId="77777777" w:rsidR="007561CE" w:rsidRDefault="00011872" w:rsidP="001B4084">
      <w:pPr>
        <w:pStyle w:val="2"/>
        <w:rPr>
          <w:rFonts w:ascii="微軟正黑體" w:eastAsia="微軟正黑體" w:hAnsi="微軟正黑體" w:hint="eastAsia"/>
        </w:rPr>
      </w:pPr>
      <w:r w:rsidRPr="00072360">
        <w:rPr>
          <w:rFonts w:ascii="微軟正黑體" w:eastAsia="微軟正黑體" w:hAnsi="微軟正黑體" w:hint="eastAsia"/>
        </w:rPr>
        <w:t>第</w:t>
      </w:r>
      <w:r w:rsidR="009C5241" w:rsidRPr="00072360">
        <w:rPr>
          <w:rFonts w:ascii="微軟正黑體" w:eastAsia="微軟正黑體" w:hAnsi="微軟正黑體" w:hint="eastAsia"/>
        </w:rPr>
        <w:t>3</w:t>
      </w:r>
      <w:r w:rsidR="007561CE">
        <w:rPr>
          <w:rFonts w:ascii="微軟正黑體" w:eastAsia="微軟正黑體" w:hAnsi="微軟正黑體" w:hint="eastAsia"/>
        </w:rPr>
        <w:t>條</w:t>
      </w:r>
    </w:p>
    <w:p w14:paraId="4E39F1ED" w14:textId="1AD4CE7D" w:rsidR="00011872"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本法適用於中華人民共和國領域和管轄的其他海域</w:t>
      </w:r>
      <w:r w:rsidR="00595037" w:rsidRPr="00072360">
        <w:rPr>
          <w:rFonts w:ascii="微軟正黑體" w:eastAsia="微軟正黑體" w:hAnsi="微軟正黑體" w:hint="eastAsia"/>
          <w:sz w:val="20"/>
        </w:rPr>
        <w:t>。</w:t>
      </w:r>
    </w:p>
    <w:p w14:paraId="1CFDB3DB" w14:textId="77777777" w:rsidR="007561CE" w:rsidRDefault="00011872" w:rsidP="001B4084">
      <w:pPr>
        <w:pStyle w:val="2"/>
        <w:rPr>
          <w:rFonts w:ascii="微軟正黑體" w:eastAsia="微軟正黑體" w:hAnsi="微軟正黑體" w:hint="eastAsia"/>
        </w:rPr>
      </w:pPr>
      <w:r w:rsidRPr="00072360">
        <w:rPr>
          <w:rFonts w:ascii="微軟正黑體" w:eastAsia="微軟正黑體" w:hAnsi="微軟正黑體" w:hint="eastAsia"/>
        </w:rPr>
        <w:lastRenderedPageBreak/>
        <w:t>第</w:t>
      </w:r>
      <w:r w:rsidR="009C5241" w:rsidRPr="00072360">
        <w:rPr>
          <w:rFonts w:ascii="微軟正黑體" w:eastAsia="微軟正黑體" w:hAnsi="微軟正黑體" w:hint="eastAsia"/>
        </w:rPr>
        <w:t>4</w:t>
      </w:r>
      <w:r w:rsidR="007561CE">
        <w:rPr>
          <w:rFonts w:ascii="微軟正黑體" w:eastAsia="微軟正黑體" w:hAnsi="微軟正黑體" w:hint="eastAsia"/>
        </w:rPr>
        <w:t>條</w:t>
      </w:r>
    </w:p>
    <w:p w14:paraId="717AA21B" w14:textId="2BB3B46A"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國家將可再生能源的開發利用列為能源發展的優先領域，通過制定可再生能源開發利用總量目標和採取相應措施，推動可再生能源市場的建立和發展</w:t>
      </w:r>
      <w:r>
        <w:rPr>
          <w:rFonts w:ascii="微軟正黑體" w:eastAsia="微軟正黑體" w:hAnsi="微軟正黑體" w:hint="eastAsia"/>
          <w:sz w:val="20"/>
        </w:rPr>
        <w:t>。</w:t>
      </w:r>
    </w:p>
    <w:p w14:paraId="1232D87B" w14:textId="55938964" w:rsidR="00011872" w:rsidRPr="00072360" w:rsidRDefault="007561CE" w:rsidP="00011872">
      <w:pPr>
        <w:ind w:left="142"/>
        <w:jc w:val="both"/>
        <w:rPr>
          <w:rFonts w:ascii="微軟正黑體" w:eastAsia="微軟正黑體" w:hAnsi="微軟正黑體"/>
          <w:color w:val="17365D"/>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2</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color w:val="17365D"/>
          <w:sz w:val="20"/>
        </w:rPr>
        <w:t>國家鼓勵各種所有製經濟主體參與可再生能源的開發利用，依法保護可再生能源開發利用者的合法權益</w:t>
      </w:r>
      <w:r w:rsidR="00595037" w:rsidRPr="00072360">
        <w:rPr>
          <w:rFonts w:ascii="微軟正黑體" w:eastAsia="微軟正黑體" w:hAnsi="微軟正黑體" w:hint="eastAsia"/>
          <w:color w:val="17365D"/>
          <w:sz w:val="20"/>
        </w:rPr>
        <w:t>。</w:t>
      </w:r>
    </w:p>
    <w:p w14:paraId="0C460C85" w14:textId="77777777" w:rsidR="007561CE" w:rsidRDefault="00011872" w:rsidP="001B4084">
      <w:pPr>
        <w:pStyle w:val="2"/>
        <w:rPr>
          <w:rFonts w:ascii="微軟正黑體" w:eastAsia="微軟正黑體" w:hAnsi="微軟正黑體" w:hint="eastAsia"/>
        </w:rPr>
      </w:pPr>
      <w:r w:rsidRPr="00072360">
        <w:rPr>
          <w:rFonts w:ascii="微軟正黑體" w:eastAsia="微軟正黑體" w:hAnsi="微軟正黑體" w:hint="eastAsia"/>
        </w:rPr>
        <w:t>第</w:t>
      </w:r>
      <w:r w:rsidR="009C5241" w:rsidRPr="00072360">
        <w:rPr>
          <w:rFonts w:ascii="微軟正黑體" w:eastAsia="微軟正黑體" w:hAnsi="微軟正黑體" w:hint="eastAsia"/>
        </w:rPr>
        <w:t>5</w:t>
      </w:r>
      <w:r w:rsidR="007561CE">
        <w:rPr>
          <w:rFonts w:ascii="微軟正黑體" w:eastAsia="微軟正黑體" w:hAnsi="微軟正黑體" w:hint="eastAsia"/>
        </w:rPr>
        <w:t>條</w:t>
      </w:r>
    </w:p>
    <w:p w14:paraId="5CB165FA" w14:textId="151C2D24"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國務院能源主管部門對全國可再生能源的開發利用實施統一管理。國務院有關部門在各自的職責範圍內負責有關的可再生能源開發利用管理工作</w:t>
      </w:r>
      <w:r>
        <w:rPr>
          <w:rFonts w:ascii="微軟正黑體" w:eastAsia="微軟正黑體" w:hAnsi="微軟正黑體" w:hint="eastAsia"/>
          <w:sz w:val="20"/>
        </w:rPr>
        <w:t>。</w:t>
      </w:r>
    </w:p>
    <w:p w14:paraId="7A2667B1" w14:textId="6BB84FF0" w:rsidR="007561CE" w:rsidRDefault="007561CE" w:rsidP="00011872">
      <w:pPr>
        <w:ind w:left="142"/>
        <w:jc w:val="both"/>
        <w:rPr>
          <w:rFonts w:ascii="微軟正黑體" w:eastAsia="微軟正黑體" w:hAnsi="微軟正黑體" w:hint="eastAsia"/>
          <w:color w:val="17365D"/>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2</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color w:val="17365D"/>
          <w:sz w:val="20"/>
        </w:rPr>
        <w:t>縣級以上地方人民政府管理能源工作的部門負責本行政區域內可再生能源開發利用的管理工作。縣級以上地方人民政府有關部門在各自的職責範圍內負責有關的可再生能源開發利用管理工作</w:t>
      </w:r>
      <w:r>
        <w:rPr>
          <w:rFonts w:ascii="微軟正黑體" w:eastAsia="微軟正黑體" w:hAnsi="微軟正黑體" w:hint="eastAsia"/>
          <w:color w:val="17365D"/>
          <w:sz w:val="20"/>
        </w:rPr>
        <w:t>。</w:t>
      </w:r>
    </w:p>
    <w:p w14:paraId="0E8AA53E" w14:textId="606BD31A" w:rsidR="00011872" w:rsidRPr="00072360" w:rsidRDefault="007561CE" w:rsidP="00011872">
      <w:pPr>
        <w:ind w:left="142"/>
        <w:jc w:val="both"/>
        <w:rPr>
          <w:rFonts w:ascii="微軟正黑體" w:eastAsia="微軟正黑體" w:hAnsi="微軟正黑體"/>
          <w:sz w:val="20"/>
        </w:rPr>
      </w:pPr>
      <w:r>
        <w:rPr>
          <w:rFonts w:ascii="微軟正黑體" w:eastAsia="微軟正黑體" w:hAnsi="微軟正黑體" w:hint="eastAsia"/>
          <w:color w:val="17365D"/>
          <w:sz w:val="20"/>
        </w:rPr>
        <w:t xml:space="preserve">　　　　</w:t>
      </w:r>
      <w:r w:rsidR="001A42CE" w:rsidRPr="00072360">
        <w:rPr>
          <w:rFonts w:ascii="微軟正黑體" w:eastAsia="微軟正黑體" w:hAnsi="微軟正黑體"/>
          <w:color w:val="808000"/>
          <w:sz w:val="18"/>
        </w:rPr>
        <w:t xml:space="preserve">　　　　　　　　　　　　　　　　　　　　　　　　　　　　　　　　　　　　　　　　　　　　</w:t>
      </w:r>
      <w:hyperlink w:anchor="aaa" w:history="1">
        <w:r w:rsidR="001A42CE" w:rsidRPr="00072360">
          <w:rPr>
            <w:rStyle w:val="a3"/>
            <w:rFonts w:ascii="微軟正黑體" w:eastAsia="微軟正黑體" w:hAnsi="微軟正黑體" w:hint="eastAsia"/>
            <w:sz w:val="18"/>
          </w:rPr>
          <w:t>回索引</w:t>
        </w:r>
      </w:hyperlink>
      <w:r w:rsidR="009F4801" w:rsidRPr="00072360">
        <w:rPr>
          <w:rFonts w:ascii="微軟正黑體" w:eastAsia="微軟正黑體" w:hAnsi="微軟正黑體" w:hint="eastAsia"/>
          <w:color w:val="808000"/>
          <w:sz w:val="18"/>
        </w:rPr>
        <w:t>〉〉</w:t>
      </w:r>
    </w:p>
    <w:p w14:paraId="77F1FF68" w14:textId="77777777" w:rsidR="00011872" w:rsidRPr="00072360" w:rsidRDefault="00011872" w:rsidP="009909C8">
      <w:pPr>
        <w:pStyle w:val="1"/>
        <w:rPr>
          <w:rFonts w:ascii="微軟正黑體" w:eastAsia="微軟正黑體" w:hAnsi="微軟正黑體"/>
        </w:rPr>
      </w:pPr>
      <w:bookmarkStart w:id="4" w:name="_第二章__資源調查與發展規劃"/>
      <w:bookmarkEnd w:id="4"/>
      <w:r w:rsidRPr="00072360">
        <w:rPr>
          <w:rFonts w:ascii="微軟正黑體" w:eastAsia="微軟正黑體" w:hAnsi="微軟正黑體" w:hint="eastAsia"/>
        </w:rPr>
        <w:t>第二章</w:t>
      </w:r>
      <w:r w:rsidR="00E270AE" w:rsidRPr="00072360">
        <w:rPr>
          <w:rFonts w:ascii="微軟正黑體" w:eastAsia="微軟正黑體" w:hAnsi="微軟正黑體" w:hint="eastAsia"/>
        </w:rPr>
        <w:t xml:space="preserve">　　</w:t>
      </w:r>
      <w:r w:rsidRPr="00072360">
        <w:rPr>
          <w:rFonts w:ascii="微軟正黑體" w:eastAsia="微軟正黑體" w:hAnsi="微軟正黑體" w:hint="eastAsia"/>
        </w:rPr>
        <w:t>資源調查與發展規劃</w:t>
      </w:r>
    </w:p>
    <w:p w14:paraId="3227E11C" w14:textId="77777777" w:rsidR="007561CE" w:rsidRDefault="00011872" w:rsidP="001B4084">
      <w:pPr>
        <w:pStyle w:val="2"/>
        <w:rPr>
          <w:rFonts w:ascii="微軟正黑體" w:eastAsia="微軟正黑體" w:hAnsi="微軟正黑體" w:hint="eastAsia"/>
        </w:rPr>
      </w:pPr>
      <w:r w:rsidRPr="00072360">
        <w:rPr>
          <w:rFonts w:ascii="微軟正黑體" w:eastAsia="微軟正黑體" w:hAnsi="微軟正黑體" w:hint="eastAsia"/>
        </w:rPr>
        <w:t>第</w:t>
      </w:r>
      <w:r w:rsidR="009C5241" w:rsidRPr="00072360">
        <w:rPr>
          <w:rFonts w:ascii="微軟正黑體" w:eastAsia="微軟正黑體" w:hAnsi="微軟正黑體" w:hint="eastAsia"/>
        </w:rPr>
        <w:t>6</w:t>
      </w:r>
      <w:r w:rsidR="007561CE">
        <w:rPr>
          <w:rFonts w:ascii="微軟正黑體" w:eastAsia="微軟正黑體" w:hAnsi="微軟正黑體" w:hint="eastAsia"/>
        </w:rPr>
        <w:t>條</w:t>
      </w:r>
    </w:p>
    <w:p w14:paraId="3F306BBA" w14:textId="142A86D2"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國務院能源主管部門負責組織和協調全國可再生能源資源的調查，並會同國務院有關部門組織製定資源調查的技術規範</w:t>
      </w:r>
      <w:r>
        <w:rPr>
          <w:rFonts w:ascii="微軟正黑體" w:eastAsia="微軟正黑體" w:hAnsi="微軟正黑體" w:hint="eastAsia"/>
          <w:sz w:val="20"/>
        </w:rPr>
        <w:t>。</w:t>
      </w:r>
    </w:p>
    <w:p w14:paraId="2D43C852" w14:textId="709A3486"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2</w:t>
      </w:r>
      <w:r w:rsidRPr="00A80C31">
        <w:rPr>
          <w:rFonts w:ascii="Calibri" w:eastAsia="微軟正黑體" w:hAnsi="Calibri" w:hint="eastAsia"/>
          <w:color w:val="404040"/>
          <w:sz w:val="16"/>
        </w:rPr>
        <w:t>﹞</w:t>
      </w:r>
      <w:r w:rsidRPr="00072360">
        <w:rPr>
          <w:rFonts w:ascii="微軟正黑體" w:eastAsia="微軟正黑體" w:hAnsi="微軟正黑體" w:hint="eastAsia"/>
          <w:color w:val="17365D"/>
          <w:sz w:val="20"/>
        </w:rPr>
        <w:t>國務院有關部門在各自的職責範圍內負責相關可再生能源資源的調查，調查結果報國務院能源主管部門匯總</w:t>
      </w:r>
      <w:r>
        <w:rPr>
          <w:rFonts w:ascii="微軟正黑體" w:eastAsia="微軟正黑體" w:hAnsi="微軟正黑體" w:hint="eastAsia"/>
          <w:sz w:val="20"/>
        </w:rPr>
        <w:t>。</w:t>
      </w:r>
    </w:p>
    <w:p w14:paraId="5DE01566" w14:textId="75AE210F" w:rsidR="00011872"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3</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可再生能源資源的調查結果應當公佈；但是，國家規定需要保密的內容除外</w:t>
      </w:r>
      <w:r w:rsidR="00595037" w:rsidRPr="00072360">
        <w:rPr>
          <w:rFonts w:ascii="微軟正黑體" w:eastAsia="微軟正黑體" w:hAnsi="微軟正黑體" w:hint="eastAsia"/>
          <w:sz w:val="20"/>
        </w:rPr>
        <w:t>。</w:t>
      </w:r>
    </w:p>
    <w:p w14:paraId="25B2A666" w14:textId="77777777" w:rsidR="007561CE" w:rsidRDefault="00011872" w:rsidP="001B4084">
      <w:pPr>
        <w:pStyle w:val="2"/>
        <w:rPr>
          <w:rFonts w:ascii="微軟正黑體" w:eastAsia="微軟正黑體" w:hAnsi="微軟正黑體" w:hint="eastAsia"/>
        </w:rPr>
      </w:pPr>
      <w:r w:rsidRPr="00072360">
        <w:rPr>
          <w:rFonts w:ascii="微軟正黑體" w:eastAsia="微軟正黑體" w:hAnsi="微軟正黑體" w:hint="eastAsia"/>
        </w:rPr>
        <w:t>第</w:t>
      </w:r>
      <w:r w:rsidR="009C5241" w:rsidRPr="00072360">
        <w:rPr>
          <w:rFonts w:ascii="微軟正黑體" w:eastAsia="微軟正黑體" w:hAnsi="微軟正黑體" w:hint="eastAsia"/>
        </w:rPr>
        <w:t>7</w:t>
      </w:r>
      <w:r w:rsidR="007561CE">
        <w:rPr>
          <w:rFonts w:ascii="微軟正黑體" w:eastAsia="微軟正黑體" w:hAnsi="微軟正黑體" w:hint="eastAsia"/>
        </w:rPr>
        <w:t>條</w:t>
      </w:r>
    </w:p>
    <w:p w14:paraId="3589706F" w14:textId="1CABE0FD"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國務院能源主管部門根據全國能源需求與可再生能源資源實際狀況，制定全國可再生能源開發利用中長期總量目標，報國務院批准後執行，並予公佈</w:t>
      </w:r>
      <w:r>
        <w:rPr>
          <w:rFonts w:ascii="微軟正黑體" w:eastAsia="微軟正黑體" w:hAnsi="微軟正黑體" w:hint="eastAsia"/>
          <w:sz w:val="20"/>
        </w:rPr>
        <w:t>。</w:t>
      </w:r>
    </w:p>
    <w:p w14:paraId="469F6383" w14:textId="357622EB" w:rsidR="00011872" w:rsidRPr="00072360" w:rsidRDefault="007561CE" w:rsidP="00011872">
      <w:pPr>
        <w:ind w:left="142"/>
        <w:jc w:val="both"/>
        <w:rPr>
          <w:rFonts w:ascii="微軟正黑體" w:eastAsia="微軟正黑體" w:hAnsi="微軟正黑體"/>
          <w:color w:val="17365D"/>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2</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color w:val="17365D"/>
          <w:sz w:val="20"/>
        </w:rPr>
        <w:t>國務院能源主管部門根據前款規定的總量目標和省、自治區、直轄市經濟發展與可再生能源資源實際狀況，會同省、自治區、直轄市人民政府確定各行政區域可再生能源開發利用中長期目標，並予公佈</w:t>
      </w:r>
      <w:r w:rsidR="00595037" w:rsidRPr="00072360">
        <w:rPr>
          <w:rFonts w:ascii="微軟正黑體" w:eastAsia="微軟正黑體" w:hAnsi="微軟正黑體" w:hint="eastAsia"/>
          <w:color w:val="17365D"/>
          <w:sz w:val="20"/>
        </w:rPr>
        <w:t>。</w:t>
      </w:r>
    </w:p>
    <w:p w14:paraId="28FE3879" w14:textId="77777777" w:rsidR="007561CE" w:rsidRDefault="00011872" w:rsidP="001B4084">
      <w:pPr>
        <w:pStyle w:val="2"/>
        <w:rPr>
          <w:rFonts w:ascii="微軟正黑體" w:eastAsia="微軟正黑體" w:hAnsi="微軟正黑體" w:hint="eastAsia"/>
        </w:rPr>
      </w:pPr>
      <w:r w:rsidRPr="00072360">
        <w:rPr>
          <w:rFonts w:ascii="微軟正黑體" w:eastAsia="微軟正黑體" w:hAnsi="微軟正黑體" w:hint="eastAsia"/>
        </w:rPr>
        <w:t>第</w:t>
      </w:r>
      <w:r w:rsidR="009C5241" w:rsidRPr="00072360">
        <w:rPr>
          <w:rFonts w:ascii="微軟正黑體" w:eastAsia="微軟正黑體" w:hAnsi="微軟正黑體" w:hint="eastAsia"/>
        </w:rPr>
        <w:t>8</w:t>
      </w:r>
      <w:r w:rsidR="007561CE">
        <w:rPr>
          <w:rFonts w:ascii="微軟正黑體" w:eastAsia="微軟正黑體" w:hAnsi="微軟正黑體" w:hint="eastAsia"/>
        </w:rPr>
        <w:t>條</w:t>
      </w:r>
    </w:p>
    <w:p w14:paraId="079CC531" w14:textId="6BF25988"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國務院能源主管部門會同國務院有關部門，根據全國可再生能源開發利用中長期總量目標和可再生能源技術發展狀況，編制全國可再生能源開發利用規劃，報國務院批准後實施</w:t>
      </w:r>
      <w:r>
        <w:rPr>
          <w:rFonts w:ascii="微軟正黑體" w:eastAsia="微軟正黑體" w:hAnsi="微軟正黑體" w:hint="eastAsia"/>
          <w:sz w:val="20"/>
        </w:rPr>
        <w:t>。</w:t>
      </w:r>
    </w:p>
    <w:p w14:paraId="3D9BF9D7" w14:textId="0CEFD69D" w:rsidR="007561CE" w:rsidRDefault="007561CE" w:rsidP="00011872">
      <w:pPr>
        <w:ind w:left="142"/>
        <w:jc w:val="both"/>
        <w:rPr>
          <w:rFonts w:ascii="微軟正黑體" w:eastAsia="微軟正黑體" w:hAnsi="微軟正黑體" w:hint="eastAsia"/>
          <w:color w:val="17365D"/>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2</w:t>
      </w:r>
      <w:r w:rsidRPr="00A80C31">
        <w:rPr>
          <w:rFonts w:ascii="Calibri" w:eastAsia="微軟正黑體" w:hAnsi="Calibri" w:hint="eastAsia"/>
          <w:color w:val="404040"/>
          <w:sz w:val="16"/>
        </w:rPr>
        <w:t>﹞</w:t>
      </w:r>
      <w:r w:rsidRPr="00072360">
        <w:rPr>
          <w:rFonts w:ascii="微軟正黑體" w:eastAsia="微軟正黑體" w:hAnsi="微軟正黑體" w:hint="eastAsia"/>
          <w:color w:val="17365D"/>
          <w:sz w:val="20"/>
        </w:rPr>
        <w:t>國務院有關部門應當制定有利於促進全國可再生能源開發利用中長期總量目標實現的相關規劃</w:t>
      </w:r>
      <w:r>
        <w:rPr>
          <w:rFonts w:ascii="微軟正黑體" w:eastAsia="微軟正黑體" w:hAnsi="微軟正黑體" w:hint="eastAsia"/>
          <w:color w:val="17365D"/>
          <w:sz w:val="20"/>
        </w:rPr>
        <w:t>。</w:t>
      </w:r>
    </w:p>
    <w:p w14:paraId="7F308758" w14:textId="4679DEE3" w:rsidR="007561CE" w:rsidRDefault="00832505" w:rsidP="00011872">
      <w:pPr>
        <w:ind w:left="142"/>
        <w:jc w:val="both"/>
        <w:rPr>
          <w:rFonts w:ascii="微軟正黑體" w:eastAsia="微軟正黑體" w:hAnsi="微軟正黑體" w:hint="eastAsia"/>
          <w:sz w:val="20"/>
        </w:rPr>
      </w:pPr>
      <w:r w:rsidRPr="00832505">
        <w:rPr>
          <w:rFonts w:ascii="Calibri" w:eastAsia="微軟正黑體" w:hAnsi="Calibri" w:hint="eastAsia"/>
          <w:color w:val="404040"/>
          <w:sz w:val="16"/>
        </w:rPr>
        <w:t>﹝</w:t>
      </w:r>
      <w:r w:rsidRPr="00832505">
        <w:rPr>
          <w:rFonts w:ascii="Calibri" w:eastAsia="微軟正黑體" w:hAnsi="Calibri" w:hint="eastAsia"/>
          <w:color w:val="404040"/>
          <w:sz w:val="16"/>
        </w:rPr>
        <w:t>3</w:t>
      </w:r>
      <w:r w:rsidRPr="00832505">
        <w:rPr>
          <w:rFonts w:ascii="Calibri" w:eastAsia="微軟正黑體" w:hAnsi="Calibri" w:hint="eastAsia"/>
          <w:color w:val="404040"/>
          <w:sz w:val="16"/>
        </w:rPr>
        <w:t>﹞</w:t>
      </w:r>
      <w:r w:rsidR="007561CE" w:rsidRPr="00072360">
        <w:rPr>
          <w:rFonts w:ascii="微軟正黑體" w:eastAsia="微軟正黑體" w:hAnsi="微軟正黑體" w:hint="eastAsia"/>
          <w:sz w:val="20"/>
        </w:rPr>
        <w:t>省</w:t>
      </w:r>
      <w:r w:rsidR="007561CE">
        <w:rPr>
          <w:rFonts w:ascii="微軟正黑體" w:eastAsia="微軟正黑體" w:hAnsi="微軟正黑體" w:hint="eastAsia"/>
          <w:color w:val="17365D"/>
          <w:sz w:val="20"/>
        </w:rPr>
        <w:t>、</w:t>
      </w:r>
      <w:r w:rsidR="007561CE" w:rsidRPr="00072360">
        <w:rPr>
          <w:rFonts w:ascii="微軟正黑體" w:eastAsia="微軟正黑體" w:hAnsi="微軟正黑體" w:hint="eastAsia"/>
          <w:sz w:val="20"/>
        </w:rPr>
        <w:t>自治區、直轄市人民政府管理能源工作的部門會同本級人民政府有關部門，依據全國可再生能源開發利用規劃和本行政區域可再生能源開發利用中長期目標，編制本行政區域可再生能源開發利用規劃，經本級人民政府批准後，報國務院能源主管部門和國家電力監管機構備案，並組織實施</w:t>
      </w:r>
      <w:r w:rsidR="007561CE">
        <w:rPr>
          <w:rFonts w:ascii="微軟正黑體" w:eastAsia="微軟正黑體" w:hAnsi="微軟正黑體" w:hint="eastAsia"/>
          <w:sz w:val="20"/>
        </w:rPr>
        <w:t>。</w:t>
      </w:r>
    </w:p>
    <w:p w14:paraId="5F746EE1" w14:textId="623AE3E7"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00832505" w:rsidRPr="00A80C31">
        <w:rPr>
          <w:rFonts w:ascii="Calibri" w:eastAsia="微軟正黑體" w:hAnsi="Calibri"/>
          <w:color w:val="404040"/>
          <w:sz w:val="16"/>
        </w:rPr>
        <w:t>4</w:t>
      </w:r>
      <w:r w:rsidRPr="00A80C31">
        <w:rPr>
          <w:rFonts w:ascii="Calibri" w:eastAsia="微軟正黑體" w:hAnsi="Calibri" w:hint="eastAsia"/>
          <w:color w:val="404040"/>
          <w:sz w:val="16"/>
        </w:rPr>
        <w:t>﹞</w:t>
      </w:r>
      <w:r w:rsidRPr="00072360">
        <w:rPr>
          <w:rFonts w:ascii="微軟正黑體" w:eastAsia="微軟正黑體" w:hAnsi="微軟正黑體" w:hint="eastAsia"/>
          <w:color w:val="17365D"/>
          <w:sz w:val="20"/>
        </w:rPr>
        <w:t>經批准的規劃應當公佈；但是，國家規定需要保密的內容除外</w:t>
      </w:r>
      <w:r>
        <w:rPr>
          <w:rFonts w:ascii="微軟正黑體" w:eastAsia="微軟正黑體" w:hAnsi="微軟正黑體" w:hint="eastAsia"/>
          <w:sz w:val="20"/>
        </w:rPr>
        <w:t>。</w:t>
      </w:r>
    </w:p>
    <w:p w14:paraId="08361875" w14:textId="7D9A9D82" w:rsidR="00011872"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t>﹝</w:t>
      </w:r>
      <w:r w:rsidR="00832505" w:rsidRPr="00A80C31">
        <w:rPr>
          <w:rFonts w:ascii="Calibri" w:eastAsia="微軟正黑體" w:hAnsi="Calibri"/>
          <w:color w:val="404040"/>
          <w:sz w:val="16"/>
        </w:rPr>
        <w:t>5</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經批准的規劃需要修改的，須經原批准機關批准</w:t>
      </w:r>
      <w:r w:rsidR="00595037" w:rsidRPr="00072360">
        <w:rPr>
          <w:rFonts w:ascii="微軟正黑體" w:eastAsia="微軟正黑體" w:hAnsi="微軟正黑體" w:hint="eastAsia"/>
          <w:sz w:val="20"/>
        </w:rPr>
        <w:t>。</w:t>
      </w:r>
    </w:p>
    <w:p w14:paraId="734F32F1" w14:textId="77777777" w:rsidR="007561CE" w:rsidRDefault="00011872" w:rsidP="001B4084">
      <w:pPr>
        <w:pStyle w:val="2"/>
        <w:rPr>
          <w:rFonts w:ascii="微軟正黑體" w:eastAsia="微軟正黑體" w:hAnsi="微軟正黑體" w:hint="eastAsia"/>
        </w:rPr>
      </w:pPr>
      <w:r w:rsidRPr="00072360">
        <w:rPr>
          <w:rFonts w:ascii="微軟正黑體" w:eastAsia="微軟正黑體" w:hAnsi="微軟正黑體" w:hint="eastAsia"/>
        </w:rPr>
        <w:t>第</w:t>
      </w:r>
      <w:r w:rsidR="009C5241" w:rsidRPr="00072360">
        <w:rPr>
          <w:rFonts w:ascii="微軟正黑體" w:eastAsia="微軟正黑體" w:hAnsi="微軟正黑體" w:hint="eastAsia"/>
        </w:rPr>
        <w:t>9</w:t>
      </w:r>
      <w:r w:rsidR="007561CE">
        <w:rPr>
          <w:rFonts w:ascii="微軟正黑體" w:eastAsia="微軟正黑體" w:hAnsi="微軟正黑體" w:hint="eastAsia"/>
        </w:rPr>
        <w:t>條</w:t>
      </w:r>
    </w:p>
    <w:p w14:paraId="75E743C8" w14:textId="1A2DB8B9"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編制可再生能源開發利用規劃，應當遵循因地制宜、統籌兼顧、合理佈局、有序發展的原則，對風能、太陽能、水能、生物質能、地熱能、海洋能等可再生能源的開發利用作出統籌安排。規劃內容應當包括發展目標、主要任務、區域佈局、重點項目、實施進度、配套電網建設、服務體系和保障措施等</w:t>
      </w:r>
      <w:r>
        <w:rPr>
          <w:rFonts w:ascii="微軟正黑體" w:eastAsia="微軟正黑體" w:hAnsi="微軟正黑體" w:hint="eastAsia"/>
          <w:sz w:val="20"/>
        </w:rPr>
        <w:t>。</w:t>
      </w:r>
    </w:p>
    <w:p w14:paraId="583EC5F5" w14:textId="1BA27ACA" w:rsidR="007561CE" w:rsidRDefault="007561CE" w:rsidP="00011872">
      <w:pPr>
        <w:ind w:left="142"/>
        <w:jc w:val="both"/>
        <w:rPr>
          <w:rFonts w:ascii="微軟正黑體" w:eastAsia="微軟正黑體" w:hAnsi="微軟正黑體" w:hint="eastAsia"/>
          <w:color w:val="17365D"/>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2</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color w:val="17365D"/>
          <w:sz w:val="20"/>
        </w:rPr>
        <w:t>組織編制機關應當徵求有關單位、專家和公眾的意見，進行科學論證</w:t>
      </w:r>
      <w:r>
        <w:rPr>
          <w:rFonts w:ascii="微軟正黑體" w:eastAsia="微軟正黑體" w:hAnsi="微軟正黑體" w:hint="eastAsia"/>
          <w:color w:val="17365D"/>
          <w:sz w:val="20"/>
        </w:rPr>
        <w:t>。</w:t>
      </w:r>
    </w:p>
    <w:p w14:paraId="2F60B727" w14:textId="29304D9B" w:rsidR="00011872" w:rsidRPr="00072360" w:rsidRDefault="007561CE" w:rsidP="00011872">
      <w:pPr>
        <w:ind w:left="142"/>
        <w:jc w:val="both"/>
        <w:rPr>
          <w:rFonts w:ascii="微軟正黑體" w:eastAsia="微軟正黑體" w:hAnsi="微軟正黑體"/>
          <w:sz w:val="20"/>
        </w:rPr>
      </w:pPr>
      <w:r>
        <w:rPr>
          <w:rFonts w:ascii="微軟正黑體" w:eastAsia="微軟正黑體" w:hAnsi="微軟正黑體" w:hint="eastAsia"/>
          <w:color w:val="17365D"/>
          <w:sz w:val="20"/>
        </w:rPr>
        <w:t xml:space="preserve">　　　　</w:t>
      </w:r>
      <w:r w:rsidR="001A42CE" w:rsidRPr="00072360">
        <w:rPr>
          <w:rFonts w:ascii="微軟正黑體" w:eastAsia="微軟正黑體" w:hAnsi="微軟正黑體"/>
          <w:color w:val="808000"/>
          <w:sz w:val="18"/>
        </w:rPr>
        <w:t xml:space="preserve">　　　　　　　　　　　　　　　　　　　　　　　　　　　　　　　　　　　　　　　　　　　　</w:t>
      </w:r>
      <w:hyperlink w:anchor="aaa" w:history="1">
        <w:r w:rsidR="001A42CE" w:rsidRPr="00072360">
          <w:rPr>
            <w:rStyle w:val="a3"/>
            <w:rFonts w:ascii="微軟正黑體" w:eastAsia="微軟正黑體" w:hAnsi="微軟正黑體" w:hint="eastAsia"/>
            <w:sz w:val="18"/>
          </w:rPr>
          <w:t>回索引</w:t>
        </w:r>
      </w:hyperlink>
      <w:r w:rsidR="009F4801" w:rsidRPr="00072360">
        <w:rPr>
          <w:rFonts w:ascii="微軟正黑體" w:eastAsia="微軟正黑體" w:hAnsi="微軟正黑體" w:hint="eastAsia"/>
          <w:color w:val="808000"/>
          <w:sz w:val="18"/>
        </w:rPr>
        <w:t>〉〉</w:t>
      </w:r>
    </w:p>
    <w:p w14:paraId="2C5F2F55" w14:textId="77777777" w:rsidR="00011872" w:rsidRPr="00072360" w:rsidRDefault="00011872" w:rsidP="009909C8">
      <w:pPr>
        <w:pStyle w:val="1"/>
        <w:rPr>
          <w:rFonts w:ascii="微軟正黑體" w:eastAsia="微軟正黑體" w:hAnsi="微軟正黑體"/>
        </w:rPr>
      </w:pPr>
      <w:bookmarkStart w:id="5" w:name="_第三章__產業指導與技術支持"/>
      <w:bookmarkEnd w:id="5"/>
      <w:r w:rsidRPr="00072360">
        <w:rPr>
          <w:rFonts w:ascii="微軟正黑體" w:eastAsia="微軟正黑體" w:hAnsi="微軟正黑體" w:hint="eastAsia"/>
        </w:rPr>
        <w:lastRenderedPageBreak/>
        <w:t>第三章</w:t>
      </w:r>
      <w:r w:rsidR="00E270AE" w:rsidRPr="00072360">
        <w:rPr>
          <w:rFonts w:ascii="微軟正黑體" w:eastAsia="微軟正黑體" w:hAnsi="微軟正黑體" w:hint="eastAsia"/>
        </w:rPr>
        <w:t xml:space="preserve">　　</w:t>
      </w:r>
      <w:r w:rsidRPr="00072360">
        <w:rPr>
          <w:rFonts w:ascii="微軟正黑體" w:eastAsia="微軟正黑體" w:hAnsi="微軟正黑體" w:hint="eastAsia"/>
        </w:rPr>
        <w:t>產業指導與技術支持</w:t>
      </w:r>
    </w:p>
    <w:p w14:paraId="3EB1CD9F" w14:textId="77777777" w:rsidR="007561CE" w:rsidRDefault="009C5241" w:rsidP="001B4084">
      <w:pPr>
        <w:pStyle w:val="2"/>
        <w:rPr>
          <w:rFonts w:ascii="微軟正黑體" w:eastAsia="微軟正黑體" w:hAnsi="微軟正黑體" w:hint="eastAsia"/>
        </w:rPr>
      </w:pPr>
      <w:r w:rsidRPr="00072360">
        <w:rPr>
          <w:rFonts w:ascii="微軟正黑體" w:eastAsia="微軟正黑體" w:hAnsi="微軟正黑體" w:hint="eastAsia"/>
        </w:rPr>
        <w:t>第1</w:t>
      </w:r>
      <w:r w:rsidR="008C40C5" w:rsidRPr="00072360">
        <w:rPr>
          <w:rFonts w:ascii="微軟正黑體" w:eastAsia="微軟正黑體" w:hAnsi="微軟正黑體" w:hint="eastAsia"/>
        </w:rPr>
        <w:t>0</w:t>
      </w:r>
      <w:r w:rsidR="007561CE">
        <w:rPr>
          <w:rFonts w:ascii="微軟正黑體" w:eastAsia="微軟正黑體" w:hAnsi="微軟正黑體" w:hint="eastAsia"/>
        </w:rPr>
        <w:t>條</w:t>
      </w:r>
    </w:p>
    <w:p w14:paraId="69CE300D" w14:textId="33D44AC8" w:rsidR="00011872"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國務院能源主管部門根據全國可再生能源開發利用規劃，制定、公佈可再生能源產業發展指導目錄</w:t>
      </w:r>
      <w:r w:rsidR="00595037" w:rsidRPr="00072360">
        <w:rPr>
          <w:rFonts w:ascii="微軟正黑體" w:eastAsia="微軟正黑體" w:hAnsi="微軟正黑體" w:hint="eastAsia"/>
          <w:sz w:val="20"/>
        </w:rPr>
        <w:t>。</w:t>
      </w:r>
    </w:p>
    <w:p w14:paraId="60457431" w14:textId="77777777" w:rsidR="007561CE" w:rsidRDefault="009C5241" w:rsidP="001B4084">
      <w:pPr>
        <w:pStyle w:val="2"/>
        <w:rPr>
          <w:rFonts w:ascii="微軟正黑體" w:eastAsia="微軟正黑體" w:hAnsi="微軟正黑體" w:hint="eastAsia"/>
        </w:rPr>
      </w:pPr>
      <w:r w:rsidRPr="00072360">
        <w:rPr>
          <w:rFonts w:ascii="微軟正黑體" w:eastAsia="微軟正黑體" w:hAnsi="微軟正黑體" w:hint="eastAsia"/>
        </w:rPr>
        <w:t>第11</w:t>
      </w:r>
      <w:r w:rsidR="007561CE">
        <w:rPr>
          <w:rFonts w:ascii="微軟正黑體" w:eastAsia="微軟正黑體" w:hAnsi="微軟正黑體" w:hint="eastAsia"/>
        </w:rPr>
        <w:t>條</w:t>
      </w:r>
    </w:p>
    <w:p w14:paraId="05868281" w14:textId="4CE208B5"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國務院標準化行政主管部門應當制定、公佈國家可再生能源電力的並網技術標準和其他需要在全國范圍內統一技術要求的有關可再生能源技術和產品的國家標準</w:t>
      </w:r>
      <w:r>
        <w:rPr>
          <w:rFonts w:ascii="微軟正黑體" w:eastAsia="微軟正黑體" w:hAnsi="微軟正黑體" w:hint="eastAsia"/>
          <w:sz w:val="20"/>
        </w:rPr>
        <w:t>。</w:t>
      </w:r>
    </w:p>
    <w:p w14:paraId="344431F5" w14:textId="7CEB76AD" w:rsidR="00011872" w:rsidRPr="00072360" w:rsidRDefault="007561CE" w:rsidP="00011872">
      <w:pPr>
        <w:ind w:left="142"/>
        <w:jc w:val="both"/>
        <w:rPr>
          <w:rFonts w:ascii="微軟正黑體" w:eastAsia="微軟正黑體" w:hAnsi="微軟正黑體"/>
          <w:color w:val="17365D"/>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2</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color w:val="17365D"/>
          <w:sz w:val="20"/>
        </w:rPr>
        <w:t>對前款規定的國家標準中未作規定的技術要求，國務院有關部門可以製定相關的行業標準，並報國務院標準化行政主管部門備案</w:t>
      </w:r>
      <w:r w:rsidR="00595037" w:rsidRPr="00072360">
        <w:rPr>
          <w:rFonts w:ascii="微軟正黑體" w:eastAsia="微軟正黑體" w:hAnsi="微軟正黑體" w:hint="eastAsia"/>
          <w:color w:val="17365D"/>
          <w:sz w:val="20"/>
        </w:rPr>
        <w:t>。</w:t>
      </w:r>
    </w:p>
    <w:p w14:paraId="649D09A2" w14:textId="77777777" w:rsidR="007561CE" w:rsidRDefault="009C5241" w:rsidP="001B4084">
      <w:pPr>
        <w:pStyle w:val="2"/>
        <w:rPr>
          <w:rFonts w:ascii="微軟正黑體" w:eastAsia="微軟正黑體" w:hAnsi="微軟正黑體" w:hint="eastAsia"/>
        </w:rPr>
      </w:pPr>
      <w:r w:rsidRPr="00072360">
        <w:rPr>
          <w:rFonts w:ascii="微軟正黑體" w:eastAsia="微軟正黑體" w:hAnsi="微軟正黑體" w:hint="eastAsia"/>
        </w:rPr>
        <w:t>第12</w:t>
      </w:r>
      <w:r w:rsidR="007561CE">
        <w:rPr>
          <w:rFonts w:ascii="微軟正黑體" w:eastAsia="微軟正黑體" w:hAnsi="微軟正黑體" w:hint="eastAsia"/>
        </w:rPr>
        <w:t>條</w:t>
      </w:r>
    </w:p>
    <w:p w14:paraId="51A6C231" w14:textId="5BEE7B64"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國家將可再生能源開發利用的科學技術研究和產業化發展列為科技發展與高技術產業發展的優先領域，納入國家科技發展規劃和高技術產業發展規劃，並安排資金支持可再生能源開發利用的科學技術研究、應用示範和產業化發展，促進可再生能源開發利用的技術進步，降低可再生能源產品的生產成本，提高產品</w:t>
      </w:r>
      <w:r w:rsidR="009F4801" w:rsidRPr="00072360">
        <w:rPr>
          <w:rFonts w:ascii="微軟正黑體" w:eastAsia="微軟正黑體" w:hAnsi="微軟正黑體" w:hint="eastAsia"/>
          <w:sz w:val="20"/>
        </w:rPr>
        <w:t>品質</w:t>
      </w:r>
      <w:r>
        <w:rPr>
          <w:rFonts w:ascii="微軟正黑體" w:eastAsia="微軟正黑體" w:hAnsi="微軟正黑體" w:hint="eastAsia"/>
          <w:sz w:val="20"/>
        </w:rPr>
        <w:t>。</w:t>
      </w:r>
    </w:p>
    <w:p w14:paraId="064B2B9A" w14:textId="5D6CCA59" w:rsidR="007561CE" w:rsidRDefault="007561CE" w:rsidP="00011872">
      <w:pPr>
        <w:ind w:left="142"/>
        <w:jc w:val="both"/>
        <w:rPr>
          <w:rFonts w:ascii="微軟正黑體" w:eastAsia="微軟正黑體" w:hAnsi="微軟正黑體" w:hint="eastAsia"/>
          <w:color w:val="17365D"/>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2</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color w:val="17365D"/>
          <w:sz w:val="20"/>
        </w:rPr>
        <w:t>國務院教育行政部門應當將可再生能源知識和技術納入普通教育、職業教育課程</w:t>
      </w:r>
      <w:r>
        <w:rPr>
          <w:rFonts w:ascii="微軟正黑體" w:eastAsia="微軟正黑體" w:hAnsi="微軟正黑體" w:hint="eastAsia"/>
          <w:color w:val="17365D"/>
          <w:sz w:val="20"/>
        </w:rPr>
        <w:t>。</w:t>
      </w:r>
    </w:p>
    <w:p w14:paraId="55844164" w14:textId="43FF8715" w:rsidR="00011872" w:rsidRPr="00072360" w:rsidRDefault="007561CE" w:rsidP="00011872">
      <w:pPr>
        <w:ind w:left="142"/>
        <w:jc w:val="both"/>
        <w:rPr>
          <w:rFonts w:ascii="微軟正黑體" w:eastAsia="微軟正黑體" w:hAnsi="微軟正黑體"/>
          <w:sz w:val="20"/>
        </w:rPr>
      </w:pPr>
      <w:r>
        <w:rPr>
          <w:rFonts w:ascii="微軟正黑體" w:eastAsia="微軟正黑體" w:hAnsi="微軟正黑體" w:hint="eastAsia"/>
          <w:color w:val="17365D"/>
          <w:sz w:val="20"/>
        </w:rPr>
        <w:t xml:space="preserve">　　　　</w:t>
      </w:r>
      <w:r w:rsidR="001A42CE" w:rsidRPr="00072360">
        <w:rPr>
          <w:rFonts w:ascii="微軟正黑體" w:eastAsia="微軟正黑體" w:hAnsi="微軟正黑體"/>
          <w:color w:val="808000"/>
          <w:sz w:val="18"/>
        </w:rPr>
        <w:t xml:space="preserve">　　　　　　　　　　　　　　　　　　　　　　　　　　　　　　　　　　　　　　　　　　　　</w:t>
      </w:r>
      <w:hyperlink w:anchor="aaa" w:history="1">
        <w:r w:rsidR="001A42CE" w:rsidRPr="00072360">
          <w:rPr>
            <w:rStyle w:val="a3"/>
            <w:rFonts w:ascii="微軟正黑體" w:eastAsia="微軟正黑體" w:hAnsi="微軟正黑體" w:hint="eastAsia"/>
            <w:sz w:val="18"/>
          </w:rPr>
          <w:t>回索引</w:t>
        </w:r>
      </w:hyperlink>
      <w:r w:rsidR="009F4801" w:rsidRPr="00072360">
        <w:rPr>
          <w:rFonts w:ascii="微軟正黑體" w:eastAsia="微軟正黑體" w:hAnsi="微軟正黑體" w:hint="eastAsia"/>
          <w:color w:val="808000"/>
          <w:sz w:val="18"/>
        </w:rPr>
        <w:t>〉〉</w:t>
      </w:r>
    </w:p>
    <w:p w14:paraId="4DCD6DEC" w14:textId="77777777" w:rsidR="00011872" w:rsidRPr="00072360" w:rsidRDefault="00011872" w:rsidP="009909C8">
      <w:pPr>
        <w:pStyle w:val="1"/>
        <w:rPr>
          <w:rFonts w:ascii="微軟正黑體" w:eastAsia="微軟正黑體" w:hAnsi="微軟正黑體"/>
        </w:rPr>
      </w:pPr>
      <w:bookmarkStart w:id="6" w:name="_第四章__推廣與應用"/>
      <w:bookmarkEnd w:id="6"/>
      <w:r w:rsidRPr="00072360">
        <w:rPr>
          <w:rFonts w:ascii="微軟正黑體" w:eastAsia="微軟正黑體" w:hAnsi="微軟正黑體" w:hint="eastAsia"/>
        </w:rPr>
        <w:t>第四章</w:t>
      </w:r>
      <w:r w:rsidR="00E270AE" w:rsidRPr="00072360">
        <w:rPr>
          <w:rFonts w:ascii="微軟正黑體" w:eastAsia="微軟正黑體" w:hAnsi="微軟正黑體" w:hint="eastAsia"/>
        </w:rPr>
        <w:t xml:space="preserve">　　</w:t>
      </w:r>
      <w:r w:rsidRPr="00072360">
        <w:rPr>
          <w:rFonts w:ascii="微軟正黑體" w:eastAsia="微軟正黑體" w:hAnsi="微軟正黑體" w:hint="eastAsia"/>
        </w:rPr>
        <w:t>推廣與應用</w:t>
      </w:r>
    </w:p>
    <w:p w14:paraId="18AD3BE0" w14:textId="77777777" w:rsidR="007561CE" w:rsidRDefault="009C5241" w:rsidP="001B4084">
      <w:pPr>
        <w:pStyle w:val="2"/>
        <w:rPr>
          <w:rFonts w:ascii="微軟正黑體" w:eastAsia="微軟正黑體" w:hAnsi="微軟正黑體" w:hint="eastAsia"/>
        </w:rPr>
      </w:pPr>
      <w:bookmarkStart w:id="7" w:name="a13"/>
      <w:bookmarkEnd w:id="7"/>
      <w:r w:rsidRPr="00072360">
        <w:rPr>
          <w:rFonts w:ascii="微軟正黑體" w:eastAsia="微軟正黑體" w:hAnsi="微軟正黑體" w:hint="eastAsia"/>
        </w:rPr>
        <w:t>第13</w:t>
      </w:r>
      <w:r w:rsidR="007561CE">
        <w:rPr>
          <w:rFonts w:ascii="微軟正黑體" w:eastAsia="微軟正黑體" w:hAnsi="微軟正黑體" w:hint="eastAsia"/>
        </w:rPr>
        <w:t>條</w:t>
      </w:r>
    </w:p>
    <w:p w14:paraId="763BB161" w14:textId="6941D3FE"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國家鼓勵和支持可再生能源並網發電</w:t>
      </w:r>
      <w:r>
        <w:rPr>
          <w:rFonts w:ascii="微軟正黑體" w:eastAsia="微軟正黑體" w:hAnsi="微軟正黑體" w:hint="eastAsia"/>
          <w:sz w:val="20"/>
        </w:rPr>
        <w:t>。</w:t>
      </w:r>
    </w:p>
    <w:p w14:paraId="13C86FDC" w14:textId="01BB5A71"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2</w:t>
      </w:r>
      <w:r w:rsidRPr="00A80C31">
        <w:rPr>
          <w:rFonts w:ascii="Calibri" w:eastAsia="微軟正黑體" w:hAnsi="Calibri" w:hint="eastAsia"/>
          <w:color w:val="404040"/>
          <w:sz w:val="16"/>
        </w:rPr>
        <w:t>﹞</w:t>
      </w:r>
      <w:r w:rsidRPr="00072360">
        <w:rPr>
          <w:rFonts w:ascii="微軟正黑體" w:eastAsia="微軟正黑體" w:hAnsi="微軟正黑體" w:hint="eastAsia"/>
          <w:color w:val="17365D"/>
          <w:sz w:val="20"/>
        </w:rPr>
        <w:t>建設可再生能源並網發電項目，應當依照法律和國務院的規定取得行政許可或者報送備案</w:t>
      </w:r>
      <w:r>
        <w:rPr>
          <w:rFonts w:ascii="微軟正黑體" w:eastAsia="微軟正黑體" w:hAnsi="微軟正黑體" w:hint="eastAsia"/>
          <w:sz w:val="20"/>
        </w:rPr>
        <w:t>。</w:t>
      </w:r>
    </w:p>
    <w:p w14:paraId="014ABDFA" w14:textId="62CD0137" w:rsidR="00011872"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3</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建設應當取得行政許可的可再生能源並網發電項目，有多人申請同一項目許可的，應當依法通過招標確定被許可人</w:t>
      </w:r>
      <w:r w:rsidR="00595037" w:rsidRPr="00072360">
        <w:rPr>
          <w:rFonts w:ascii="微軟正黑體" w:eastAsia="微軟正黑體" w:hAnsi="微軟正黑體" w:hint="eastAsia"/>
          <w:sz w:val="20"/>
        </w:rPr>
        <w:t>。</w:t>
      </w:r>
    </w:p>
    <w:p w14:paraId="2B66DC5D" w14:textId="77777777" w:rsidR="00E270AE" w:rsidRPr="00072360" w:rsidRDefault="009C5241" w:rsidP="001B4084">
      <w:pPr>
        <w:pStyle w:val="2"/>
        <w:rPr>
          <w:rFonts w:ascii="微軟正黑體" w:eastAsia="微軟正黑體" w:hAnsi="微軟正黑體"/>
        </w:rPr>
      </w:pPr>
      <w:bookmarkStart w:id="8" w:name="a14"/>
      <w:bookmarkEnd w:id="8"/>
      <w:r w:rsidRPr="00072360">
        <w:rPr>
          <w:rFonts w:ascii="微軟正黑體" w:eastAsia="微軟正黑體" w:hAnsi="微軟正黑體" w:hint="eastAsia"/>
        </w:rPr>
        <w:t>第14</w:t>
      </w:r>
      <w:r w:rsidR="00011872" w:rsidRPr="00072360">
        <w:rPr>
          <w:rFonts w:ascii="微軟正黑體" w:eastAsia="微軟正黑體" w:hAnsi="微軟正黑體" w:hint="eastAsia"/>
        </w:rPr>
        <w:t>條</w:t>
      </w:r>
      <w:r w:rsidR="009C5A8E" w:rsidRPr="00072360">
        <w:rPr>
          <w:rFonts w:ascii="微軟正黑體" w:eastAsia="微軟正黑體" w:hAnsi="微軟正黑體" w:hint="eastAsia"/>
          <w:b w:val="0"/>
          <w:color w:val="5F5F5F"/>
          <w:sz w:val="18"/>
        </w:rPr>
        <w:t>【相關罰則】</w:t>
      </w:r>
      <w:hyperlink w:anchor="a29" w:history="1">
        <w:r w:rsidR="009C5A8E" w:rsidRPr="00072360">
          <w:rPr>
            <w:rStyle w:val="a3"/>
            <w:rFonts w:ascii="微軟正黑體" w:eastAsia="微軟正黑體" w:hAnsi="微軟正黑體" w:hint="eastAsia"/>
            <w:b w:val="0"/>
            <w:color w:val="5F5F5F"/>
            <w:sz w:val="18"/>
            <w:szCs w:val="20"/>
          </w:rPr>
          <w:t>§</w:t>
        </w:r>
        <w:r w:rsidR="00F922D9" w:rsidRPr="00072360">
          <w:rPr>
            <w:rStyle w:val="a3"/>
            <w:rFonts w:ascii="微軟正黑體" w:eastAsia="微軟正黑體" w:hAnsi="微軟正黑體" w:hint="eastAsia"/>
            <w:b w:val="0"/>
            <w:color w:val="5F5F5F"/>
            <w:sz w:val="18"/>
            <w:szCs w:val="20"/>
          </w:rPr>
          <w:t>29</w:t>
        </w:r>
      </w:hyperlink>
    </w:p>
    <w:p w14:paraId="0D158E20" w14:textId="7F3014ED" w:rsidR="007561CE" w:rsidRDefault="00832505" w:rsidP="00011872">
      <w:pPr>
        <w:ind w:left="142"/>
        <w:jc w:val="both"/>
        <w:rPr>
          <w:rFonts w:ascii="微軟正黑體" w:eastAsia="微軟正黑體" w:hAnsi="微軟正黑體" w:hint="eastAsia"/>
          <w:sz w:val="20"/>
        </w:rPr>
      </w:pPr>
      <w:r w:rsidRPr="00832505">
        <w:rPr>
          <w:rFonts w:ascii="Calibri" w:eastAsia="微軟正黑體" w:hAnsi="Calibri" w:hint="eastAsia"/>
          <w:color w:val="404040"/>
          <w:sz w:val="16"/>
        </w:rPr>
        <w:t>﹝</w:t>
      </w:r>
      <w:r w:rsidRPr="00832505">
        <w:rPr>
          <w:rFonts w:ascii="Calibri" w:eastAsia="微軟正黑體" w:hAnsi="Calibri" w:hint="eastAsia"/>
          <w:color w:val="404040"/>
          <w:sz w:val="16"/>
        </w:rPr>
        <w:t>1</w:t>
      </w:r>
      <w:r w:rsidRPr="00832505">
        <w:rPr>
          <w:rFonts w:ascii="Calibri" w:eastAsia="微軟正黑體" w:hAnsi="Calibri" w:hint="eastAsia"/>
          <w:color w:val="404040"/>
          <w:sz w:val="16"/>
        </w:rPr>
        <w:t>﹞</w:t>
      </w:r>
      <w:r w:rsidR="00011872" w:rsidRPr="00072360">
        <w:rPr>
          <w:rFonts w:ascii="微軟正黑體" w:eastAsia="微軟正黑體" w:hAnsi="微軟正黑體" w:hint="eastAsia"/>
          <w:sz w:val="20"/>
        </w:rPr>
        <w:t>國家實行可再生能源發電全額保障性收購制度</w:t>
      </w:r>
      <w:r w:rsidR="007561CE">
        <w:rPr>
          <w:rFonts w:ascii="微軟正黑體" w:eastAsia="微軟正黑體" w:hAnsi="微軟正黑體" w:hint="eastAsia"/>
          <w:sz w:val="20"/>
        </w:rPr>
        <w:t>。</w:t>
      </w:r>
    </w:p>
    <w:p w14:paraId="68657AE0" w14:textId="1E71A5B7"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2</w:t>
      </w:r>
      <w:r w:rsidRPr="00A80C31">
        <w:rPr>
          <w:rFonts w:ascii="Calibri" w:eastAsia="微軟正黑體" w:hAnsi="Calibri" w:hint="eastAsia"/>
          <w:color w:val="404040"/>
          <w:sz w:val="16"/>
        </w:rPr>
        <w:t>﹞</w:t>
      </w:r>
      <w:r w:rsidRPr="00072360">
        <w:rPr>
          <w:rFonts w:ascii="微軟正黑體" w:eastAsia="微軟正黑體" w:hAnsi="微軟正黑體" w:hint="eastAsia"/>
          <w:color w:val="17365D"/>
          <w:sz w:val="20"/>
        </w:rPr>
        <w:t>國務院能源主管部門會同國家電力監管機構和國務院財政部門，按照全國可再生能源開發利用規劃，確定在規劃期內應當達到的可再生能源發電量佔全部發電量的比重，制定電網企業優先調度和全額收購可再生能源發電的具體辦法，並由國務院能源主管部門會同國家電力監管機構在年度中督促落實</w:t>
      </w:r>
      <w:r>
        <w:rPr>
          <w:rFonts w:ascii="微軟正黑體" w:eastAsia="微軟正黑體" w:hAnsi="微軟正黑體" w:hint="eastAsia"/>
          <w:sz w:val="20"/>
        </w:rPr>
        <w:t>。</w:t>
      </w:r>
    </w:p>
    <w:p w14:paraId="411ED923" w14:textId="0461D720"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3</w:t>
      </w:r>
      <w:r w:rsidRPr="00A80C31">
        <w:rPr>
          <w:rFonts w:ascii="Calibri" w:eastAsia="微軟正黑體" w:hAnsi="Calibri" w:hint="eastAsia"/>
          <w:color w:val="404040"/>
          <w:sz w:val="16"/>
        </w:rPr>
        <w:t>﹞</w:t>
      </w:r>
      <w:r w:rsidRPr="00072360">
        <w:rPr>
          <w:rFonts w:ascii="微軟正黑體" w:eastAsia="微軟正黑體" w:hAnsi="微軟正黑體" w:hint="eastAsia"/>
          <w:sz w:val="20"/>
        </w:rPr>
        <w:t>電網企業應當與按照可再生能源開發利用規劃建設，依法取得行政許可或者報送備案的可再生能源發電企業簽訂並網協議，全額收購其電網覆蓋範圍內符合併網技術標準的可再生能源並網發電項目的上網電量。發電企業有義務配合電網企業保障電網安全</w:t>
      </w:r>
      <w:r>
        <w:rPr>
          <w:rFonts w:ascii="微軟正黑體" w:eastAsia="微軟正黑體" w:hAnsi="微軟正黑體" w:hint="eastAsia"/>
          <w:sz w:val="20"/>
        </w:rPr>
        <w:t>。</w:t>
      </w:r>
    </w:p>
    <w:p w14:paraId="5F08AD9C" w14:textId="4D8CC4C8" w:rsidR="00011872" w:rsidRPr="00072360" w:rsidRDefault="007561CE" w:rsidP="00011872">
      <w:pPr>
        <w:ind w:left="142"/>
        <w:jc w:val="both"/>
        <w:rPr>
          <w:rFonts w:ascii="微軟正黑體" w:eastAsia="微軟正黑體" w:hAnsi="微軟正黑體"/>
          <w:color w:val="17365D"/>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4</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color w:val="17365D"/>
          <w:sz w:val="20"/>
        </w:rPr>
        <w:t>電網企業應當加強電網建設，擴大可再生能源電力配置範圍，發展和應用智能電網、儲能等技術，完善電網運行管理，提高吸納可再生能源電力的能力，為可再生能源發電提供上網服務</w:t>
      </w:r>
      <w:r w:rsidR="00595037" w:rsidRPr="00072360">
        <w:rPr>
          <w:rFonts w:ascii="微軟正黑體" w:eastAsia="微軟正黑體" w:hAnsi="微軟正黑體" w:hint="eastAsia"/>
          <w:color w:val="17365D"/>
          <w:sz w:val="20"/>
        </w:rPr>
        <w:t>。</w:t>
      </w:r>
    </w:p>
    <w:p w14:paraId="60A85908" w14:textId="77777777" w:rsidR="007561CE" w:rsidRDefault="009C5241" w:rsidP="001B4084">
      <w:pPr>
        <w:pStyle w:val="2"/>
        <w:rPr>
          <w:rFonts w:ascii="微軟正黑體" w:eastAsia="微軟正黑體" w:hAnsi="微軟正黑體" w:hint="eastAsia"/>
        </w:rPr>
      </w:pPr>
      <w:r w:rsidRPr="00072360">
        <w:rPr>
          <w:rFonts w:ascii="微軟正黑體" w:eastAsia="微軟正黑體" w:hAnsi="微軟正黑體" w:hint="eastAsia"/>
        </w:rPr>
        <w:t>第15</w:t>
      </w:r>
      <w:r w:rsidR="007561CE">
        <w:rPr>
          <w:rFonts w:ascii="微軟正黑體" w:eastAsia="微軟正黑體" w:hAnsi="微軟正黑體" w:hint="eastAsia"/>
        </w:rPr>
        <w:t>條</w:t>
      </w:r>
    </w:p>
    <w:p w14:paraId="7145F08F" w14:textId="0C902EC9" w:rsidR="00011872"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國家扶持在電網未覆蓋的地區建設可再生能源獨立電力系統，為當地生產和生活提供電力服務</w:t>
      </w:r>
      <w:r w:rsidR="00595037" w:rsidRPr="00072360">
        <w:rPr>
          <w:rFonts w:ascii="微軟正黑體" w:eastAsia="微軟正黑體" w:hAnsi="微軟正黑體" w:hint="eastAsia"/>
          <w:sz w:val="20"/>
        </w:rPr>
        <w:t>。</w:t>
      </w:r>
    </w:p>
    <w:p w14:paraId="232A9B9B" w14:textId="77777777" w:rsidR="00E270AE" w:rsidRPr="00072360" w:rsidRDefault="009C5241" w:rsidP="001B4084">
      <w:pPr>
        <w:pStyle w:val="2"/>
        <w:rPr>
          <w:rFonts w:ascii="微軟正黑體" w:eastAsia="微軟正黑體" w:hAnsi="微軟正黑體"/>
        </w:rPr>
      </w:pPr>
      <w:bookmarkStart w:id="9" w:name="a16"/>
      <w:bookmarkEnd w:id="9"/>
      <w:r w:rsidRPr="00072360">
        <w:rPr>
          <w:rFonts w:ascii="微軟正黑體" w:eastAsia="微軟正黑體" w:hAnsi="微軟正黑體" w:hint="eastAsia"/>
        </w:rPr>
        <w:t>第16</w:t>
      </w:r>
      <w:r w:rsidR="00011872" w:rsidRPr="00072360">
        <w:rPr>
          <w:rFonts w:ascii="微軟正黑體" w:eastAsia="微軟正黑體" w:hAnsi="微軟正黑體" w:hint="eastAsia"/>
        </w:rPr>
        <w:t>條</w:t>
      </w:r>
      <w:r w:rsidR="00F922D9" w:rsidRPr="00072360">
        <w:rPr>
          <w:rFonts w:ascii="微軟正黑體" w:eastAsia="微軟正黑體" w:hAnsi="微軟正黑體" w:hint="eastAsia"/>
          <w:b w:val="0"/>
          <w:color w:val="5F5F5F"/>
          <w:sz w:val="18"/>
        </w:rPr>
        <w:t>【相關罰則】第</w:t>
      </w:r>
      <w:r w:rsidRPr="00072360">
        <w:rPr>
          <w:rFonts w:ascii="微軟正黑體" w:eastAsia="微軟正黑體" w:hAnsi="微軟正黑體" w:hint="eastAsia"/>
          <w:b w:val="0"/>
          <w:color w:val="5F5F5F"/>
          <w:sz w:val="18"/>
        </w:rPr>
        <w:t>2</w:t>
      </w:r>
      <w:r w:rsidR="00F922D9" w:rsidRPr="00072360">
        <w:rPr>
          <w:rFonts w:ascii="微軟正黑體" w:eastAsia="微軟正黑體" w:hAnsi="微軟正黑體" w:hint="eastAsia"/>
          <w:b w:val="0"/>
          <w:color w:val="5F5F5F"/>
          <w:sz w:val="18"/>
        </w:rPr>
        <w:t>款~</w:t>
      </w:r>
      <w:hyperlink w:anchor="a30" w:history="1">
        <w:r w:rsidR="00F922D9" w:rsidRPr="00072360">
          <w:rPr>
            <w:rStyle w:val="a3"/>
            <w:rFonts w:ascii="微軟正黑體" w:eastAsia="微軟正黑體" w:hAnsi="微軟正黑體" w:hint="eastAsia"/>
            <w:b w:val="0"/>
            <w:color w:val="5F5F5F"/>
            <w:sz w:val="18"/>
            <w:szCs w:val="20"/>
          </w:rPr>
          <w:t>§30</w:t>
        </w:r>
      </w:hyperlink>
      <w:r w:rsidR="00F922D9" w:rsidRPr="00072360">
        <w:rPr>
          <w:rFonts w:ascii="微軟正黑體" w:eastAsia="微軟正黑體" w:hAnsi="微軟正黑體" w:cs="新細明體" w:hint="eastAsia"/>
          <w:b w:val="0"/>
          <w:color w:val="5F5F5F"/>
          <w:sz w:val="18"/>
          <w:szCs w:val="18"/>
          <w:lang w:val="zh-TW"/>
        </w:rPr>
        <w:t>；</w:t>
      </w:r>
      <w:r w:rsidR="00F922D9" w:rsidRPr="00072360">
        <w:rPr>
          <w:rFonts w:ascii="微軟正黑體" w:eastAsia="微軟正黑體" w:hAnsi="微軟正黑體" w:hint="eastAsia"/>
          <w:b w:val="0"/>
          <w:color w:val="5F5F5F"/>
          <w:sz w:val="18"/>
        </w:rPr>
        <w:t>第</w:t>
      </w:r>
      <w:r w:rsidRPr="00072360">
        <w:rPr>
          <w:rFonts w:ascii="微軟正黑體" w:eastAsia="微軟正黑體" w:hAnsi="微軟正黑體" w:hint="eastAsia"/>
          <w:b w:val="0"/>
          <w:color w:val="5F5F5F"/>
          <w:sz w:val="18"/>
        </w:rPr>
        <w:t>3</w:t>
      </w:r>
      <w:r w:rsidR="00F922D9" w:rsidRPr="00072360">
        <w:rPr>
          <w:rFonts w:ascii="微軟正黑體" w:eastAsia="微軟正黑體" w:hAnsi="微軟正黑體" w:hint="eastAsia"/>
          <w:b w:val="0"/>
          <w:color w:val="5F5F5F"/>
          <w:sz w:val="18"/>
        </w:rPr>
        <w:t>款~</w:t>
      </w:r>
      <w:hyperlink w:anchor="a31" w:history="1">
        <w:r w:rsidR="00F922D9" w:rsidRPr="00072360">
          <w:rPr>
            <w:rStyle w:val="a3"/>
            <w:rFonts w:ascii="微軟正黑體" w:eastAsia="微軟正黑體" w:hAnsi="微軟正黑體" w:hint="eastAsia"/>
            <w:b w:val="0"/>
            <w:color w:val="5F5F5F"/>
            <w:sz w:val="18"/>
            <w:szCs w:val="20"/>
          </w:rPr>
          <w:t>§31</w:t>
        </w:r>
      </w:hyperlink>
    </w:p>
    <w:p w14:paraId="2C81A930" w14:textId="7663E8AF" w:rsidR="007561CE" w:rsidRDefault="00832505" w:rsidP="00011872">
      <w:pPr>
        <w:ind w:left="142"/>
        <w:jc w:val="both"/>
        <w:rPr>
          <w:rFonts w:ascii="微軟正黑體" w:eastAsia="微軟正黑體" w:hAnsi="微軟正黑體" w:hint="eastAsia"/>
          <w:sz w:val="20"/>
        </w:rPr>
      </w:pPr>
      <w:r w:rsidRPr="00832505">
        <w:rPr>
          <w:rFonts w:ascii="Calibri" w:eastAsia="微軟正黑體" w:hAnsi="Calibri" w:hint="eastAsia"/>
          <w:color w:val="404040"/>
          <w:sz w:val="16"/>
        </w:rPr>
        <w:t>﹝</w:t>
      </w:r>
      <w:r w:rsidRPr="00832505">
        <w:rPr>
          <w:rFonts w:ascii="Calibri" w:eastAsia="微軟正黑體" w:hAnsi="Calibri" w:hint="eastAsia"/>
          <w:color w:val="404040"/>
          <w:sz w:val="16"/>
        </w:rPr>
        <w:t>1</w:t>
      </w:r>
      <w:r w:rsidRPr="00832505">
        <w:rPr>
          <w:rFonts w:ascii="Calibri" w:eastAsia="微軟正黑體" w:hAnsi="Calibri" w:hint="eastAsia"/>
          <w:color w:val="404040"/>
          <w:sz w:val="16"/>
        </w:rPr>
        <w:t>﹞</w:t>
      </w:r>
      <w:r w:rsidR="00011872" w:rsidRPr="00072360">
        <w:rPr>
          <w:rFonts w:ascii="微軟正黑體" w:eastAsia="微軟正黑體" w:hAnsi="微軟正黑體" w:hint="eastAsia"/>
          <w:sz w:val="20"/>
        </w:rPr>
        <w:t>國家鼓勵清潔、高效地開發利用生物質燃料，鼓勵發展能源作物</w:t>
      </w:r>
      <w:r w:rsidR="007561CE">
        <w:rPr>
          <w:rFonts w:ascii="微軟正黑體" w:eastAsia="微軟正黑體" w:hAnsi="微軟正黑體" w:hint="eastAsia"/>
          <w:sz w:val="20"/>
        </w:rPr>
        <w:t>。</w:t>
      </w:r>
    </w:p>
    <w:p w14:paraId="64797B1C" w14:textId="4BC0BF3B"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2</w:t>
      </w:r>
      <w:r w:rsidRPr="00A80C31">
        <w:rPr>
          <w:rFonts w:ascii="Calibri" w:eastAsia="微軟正黑體" w:hAnsi="Calibri" w:hint="eastAsia"/>
          <w:color w:val="404040"/>
          <w:sz w:val="16"/>
        </w:rPr>
        <w:t>﹞</w:t>
      </w:r>
      <w:r w:rsidRPr="00072360">
        <w:rPr>
          <w:rFonts w:ascii="微軟正黑體" w:eastAsia="微軟正黑體" w:hAnsi="微軟正黑體" w:hint="eastAsia"/>
          <w:color w:val="17365D"/>
          <w:sz w:val="20"/>
        </w:rPr>
        <w:t>利用生物質資源生產的燃氣和熱力，符合城市燃氣管網、熱力管網的入網技術標準的，經營燃氣管網、熱力管網的企業應當接收其入網</w:t>
      </w:r>
      <w:r>
        <w:rPr>
          <w:rFonts w:ascii="微軟正黑體" w:eastAsia="微軟正黑體" w:hAnsi="微軟正黑體" w:hint="eastAsia"/>
          <w:sz w:val="20"/>
        </w:rPr>
        <w:t>。</w:t>
      </w:r>
    </w:p>
    <w:p w14:paraId="7DD98D5B" w14:textId="0BFBA8A7" w:rsidR="00011872"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lastRenderedPageBreak/>
        <w:t>﹝</w:t>
      </w:r>
      <w:r w:rsidRPr="00A80C31">
        <w:rPr>
          <w:rFonts w:ascii="Calibri" w:eastAsia="微軟正黑體" w:hAnsi="Calibri" w:hint="eastAsia"/>
          <w:color w:val="404040"/>
          <w:sz w:val="16"/>
        </w:rPr>
        <w:t>3</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國家鼓勵生產和利用生物液體燃料。石油銷售企業應當按照國務院能源主管部門或者省級人民政府的規定，將符合國家標準的生物液體燃料納入其燃料銷售體系</w:t>
      </w:r>
      <w:r w:rsidR="00595037" w:rsidRPr="00072360">
        <w:rPr>
          <w:rFonts w:ascii="微軟正黑體" w:eastAsia="微軟正黑體" w:hAnsi="微軟正黑體" w:hint="eastAsia"/>
          <w:sz w:val="20"/>
        </w:rPr>
        <w:t>。</w:t>
      </w:r>
    </w:p>
    <w:p w14:paraId="6C03D5BA" w14:textId="77777777" w:rsidR="007561CE" w:rsidRDefault="009C5241" w:rsidP="001B4084">
      <w:pPr>
        <w:pStyle w:val="2"/>
        <w:rPr>
          <w:rFonts w:ascii="微軟正黑體" w:eastAsia="微軟正黑體" w:hAnsi="微軟正黑體" w:hint="eastAsia"/>
        </w:rPr>
      </w:pPr>
      <w:r w:rsidRPr="00072360">
        <w:rPr>
          <w:rFonts w:ascii="微軟正黑體" w:eastAsia="微軟正黑體" w:hAnsi="微軟正黑體" w:hint="eastAsia"/>
        </w:rPr>
        <w:t>第17</w:t>
      </w:r>
      <w:r w:rsidR="007561CE">
        <w:rPr>
          <w:rFonts w:ascii="微軟正黑體" w:eastAsia="微軟正黑體" w:hAnsi="微軟正黑體" w:hint="eastAsia"/>
        </w:rPr>
        <w:t>條</w:t>
      </w:r>
    </w:p>
    <w:p w14:paraId="24C0B6FA" w14:textId="282794C0"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國家鼓勵單位和個人安裝和使用太陽能熱水系統、太陽能供熱采暖和製冷系統、太陽能光伏發電系統等太陽能利用系統</w:t>
      </w:r>
      <w:r>
        <w:rPr>
          <w:rFonts w:ascii="微軟正黑體" w:eastAsia="微軟正黑體" w:hAnsi="微軟正黑體" w:hint="eastAsia"/>
          <w:sz w:val="20"/>
        </w:rPr>
        <w:t>。</w:t>
      </w:r>
    </w:p>
    <w:p w14:paraId="7457EC58" w14:textId="3AD3BA38"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2</w:t>
      </w:r>
      <w:r w:rsidRPr="00A80C31">
        <w:rPr>
          <w:rFonts w:ascii="Calibri" w:eastAsia="微軟正黑體" w:hAnsi="Calibri" w:hint="eastAsia"/>
          <w:color w:val="404040"/>
          <w:sz w:val="16"/>
        </w:rPr>
        <w:t>﹞</w:t>
      </w:r>
      <w:r w:rsidRPr="00072360">
        <w:rPr>
          <w:rFonts w:ascii="微軟正黑體" w:eastAsia="微軟正黑體" w:hAnsi="微軟正黑體" w:hint="eastAsia"/>
          <w:color w:val="17365D"/>
          <w:sz w:val="20"/>
        </w:rPr>
        <w:t>國務院建設行政主管部門會同國務院有關部門製定太陽能利用系統與建築結合的技術經濟政策和技術規範</w:t>
      </w:r>
      <w:r>
        <w:rPr>
          <w:rFonts w:ascii="微軟正黑體" w:eastAsia="微軟正黑體" w:hAnsi="微軟正黑體" w:hint="eastAsia"/>
          <w:sz w:val="20"/>
        </w:rPr>
        <w:t>。</w:t>
      </w:r>
    </w:p>
    <w:p w14:paraId="3EDD6520" w14:textId="2DA2358E"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3</w:t>
      </w:r>
      <w:r w:rsidRPr="00A80C31">
        <w:rPr>
          <w:rFonts w:ascii="Calibri" w:eastAsia="微軟正黑體" w:hAnsi="Calibri" w:hint="eastAsia"/>
          <w:color w:val="404040"/>
          <w:sz w:val="16"/>
        </w:rPr>
        <w:t>﹞</w:t>
      </w:r>
      <w:r w:rsidRPr="00072360">
        <w:rPr>
          <w:rFonts w:ascii="微軟正黑體" w:eastAsia="微軟正黑體" w:hAnsi="微軟正黑體" w:hint="eastAsia"/>
          <w:sz w:val="20"/>
        </w:rPr>
        <w:t>房地產開發企業應當根據前款規定的技術規範，在建築物的設計和施工中，為太陽能利用提供必備條件</w:t>
      </w:r>
      <w:r>
        <w:rPr>
          <w:rFonts w:ascii="微軟正黑體" w:eastAsia="微軟正黑體" w:hAnsi="微軟正黑體" w:hint="eastAsia"/>
          <w:sz w:val="20"/>
        </w:rPr>
        <w:t>。</w:t>
      </w:r>
    </w:p>
    <w:p w14:paraId="4B29EB27" w14:textId="5C44E5BB" w:rsidR="00011872" w:rsidRPr="00072360" w:rsidRDefault="007561CE" w:rsidP="00011872">
      <w:pPr>
        <w:ind w:left="142"/>
        <w:jc w:val="both"/>
        <w:rPr>
          <w:rFonts w:ascii="微軟正黑體" w:eastAsia="微軟正黑體" w:hAnsi="微軟正黑體"/>
          <w:color w:val="17365D"/>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4</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color w:val="17365D"/>
          <w:sz w:val="20"/>
        </w:rPr>
        <w:t>對已建成的建築物，住戶可以在不影響其</w:t>
      </w:r>
      <w:r w:rsidR="009F4801" w:rsidRPr="00072360">
        <w:rPr>
          <w:rFonts w:ascii="微軟正黑體" w:eastAsia="微軟正黑體" w:hAnsi="微軟正黑體" w:hint="eastAsia"/>
          <w:color w:val="17365D"/>
          <w:sz w:val="20"/>
        </w:rPr>
        <w:t>品質</w:t>
      </w:r>
      <w:r w:rsidR="00011872" w:rsidRPr="00072360">
        <w:rPr>
          <w:rFonts w:ascii="微軟正黑體" w:eastAsia="微軟正黑體" w:hAnsi="微軟正黑體" w:hint="eastAsia"/>
          <w:color w:val="17365D"/>
          <w:sz w:val="20"/>
        </w:rPr>
        <w:t>與安全的前提下安裝符合技術規範和產品標準的太陽能利用系統；但是，當事人另有約定的除外</w:t>
      </w:r>
      <w:r w:rsidR="00595037" w:rsidRPr="00072360">
        <w:rPr>
          <w:rFonts w:ascii="微軟正黑體" w:eastAsia="微軟正黑體" w:hAnsi="微軟正黑體" w:hint="eastAsia"/>
          <w:color w:val="17365D"/>
          <w:sz w:val="20"/>
        </w:rPr>
        <w:t>。</w:t>
      </w:r>
    </w:p>
    <w:p w14:paraId="2F7EFBA7" w14:textId="77777777" w:rsidR="007561CE" w:rsidRDefault="009C5241" w:rsidP="001B4084">
      <w:pPr>
        <w:pStyle w:val="2"/>
        <w:rPr>
          <w:rFonts w:ascii="微軟正黑體" w:eastAsia="微軟正黑體" w:hAnsi="微軟正黑體" w:hint="eastAsia"/>
        </w:rPr>
      </w:pPr>
      <w:r w:rsidRPr="00072360">
        <w:rPr>
          <w:rFonts w:ascii="微軟正黑體" w:eastAsia="微軟正黑體" w:hAnsi="微軟正黑體" w:hint="eastAsia"/>
        </w:rPr>
        <w:t>第18</w:t>
      </w:r>
      <w:r w:rsidR="007561CE">
        <w:rPr>
          <w:rFonts w:ascii="微軟正黑體" w:eastAsia="微軟正黑體" w:hAnsi="微軟正黑體" w:hint="eastAsia"/>
        </w:rPr>
        <w:t>條</w:t>
      </w:r>
    </w:p>
    <w:p w14:paraId="55F6C451" w14:textId="283DBFD9"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國家鼓勵和支持農村地區的可再生能源開發利用</w:t>
      </w:r>
      <w:r>
        <w:rPr>
          <w:rFonts w:ascii="微軟正黑體" w:eastAsia="微軟正黑體" w:hAnsi="微軟正黑體" w:hint="eastAsia"/>
          <w:sz w:val="20"/>
        </w:rPr>
        <w:t>。</w:t>
      </w:r>
    </w:p>
    <w:p w14:paraId="22AC61DC" w14:textId="5FF562CD"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2</w:t>
      </w:r>
      <w:r w:rsidRPr="00A80C31">
        <w:rPr>
          <w:rFonts w:ascii="Calibri" w:eastAsia="微軟正黑體" w:hAnsi="Calibri" w:hint="eastAsia"/>
          <w:color w:val="404040"/>
          <w:sz w:val="16"/>
        </w:rPr>
        <w:t>﹞</w:t>
      </w:r>
      <w:r w:rsidRPr="00072360">
        <w:rPr>
          <w:rFonts w:ascii="微軟正黑體" w:eastAsia="微軟正黑體" w:hAnsi="微軟正黑體" w:hint="eastAsia"/>
          <w:color w:val="17365D"/>
          <w:sz w:val="20"/>
        </w:rPr>
        <w:t>縣級以上地方人民政府管理能源工作的部門會同有關部門，根據當地經濟社會發展、生態保護和衛生綜合治理需要等實際情況，制定農村地區可再生能源發展規劃，因地制宜地推廣應用沼氣等生物質資源轉化、戶用太陽能、小型風能、小型水能等技術</w:t>
      </w:r>
      <w:r>
        <w:rPr>
          <w:rFonts w:ascii="微軟正黑體" w:eastAsia="微軟正黑體" w:hAnsi="微軟正黑體" w:hint="eastAsia"/>
          <w:sz w:val="20"/>
        </w:rPr>
        <w:t>。</w:t>
      </w:r>
    </w:p>
    <w:p w14:paraId="7CAE72F9" w14:textId="40A6BD73"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3</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縣級以上人民政府應當對農村地區的可再生能源利用項目提供財政支持</w:t>
      </w:r>
      <w:r>
        <w:rPr>
          <w:rFonts w:ascii="微軟正黑體" w:eastAsia="微軟正黑體" w:hAnsi="微軟正黑體" w:hint="eastAsia"/>
          <w:sz w:val="20"/>
        </w:rPr>
        <w:t>。</w:t>
      </w:r>
    </w:p>
    <w:p w14:paraId="3118CF76" w14:textId="11E97CB8" w:rsidR="00011872" w:rsidRPr="00072360" w:rsidRDefault="007561CE" w:rsidP="00011872">
      <w:pPr>
        <w:ind w:left="142"/>
        <w:jc w:val="both"/>
        <w:rPr>
          <w:rFonts w:ascii="微軟正黑體" w:eastAsia="微軟正黑體" w:hAnsi="微軟正黑體"/>
          <w:sz w:val="20"/>
        </w:rPr>
      </w:pPr>
      <w:r>
        <w:rPr>
          <w:rFonts w:ascii="微軟正黑體" w:eastAsia="微軟正黑體" w:hAnsi="微軟正黑體" w:hint="eastAsia"/>
          <w:sz w:val="20"/>
        </w:rPr>
        <w:t xml:space="preserve">　　　　</w:t>
      </w:r>
      <w:r w:rsidR="001A42CE" w:rsidRPr="00072360">
        <w:rPr>
          <w:rFonts w:ascii="微軟正黑體" w:eastAsia="微軟正黑體" w:hAnsi="微軟正黑體"/>
          <w:color w:val="808000"/>
          <w:sz w:val="18"/>
        </w:rPr>
        <w:t xml:space="preserve">　　　　　　　　　　　　　　　　　　　　　　　　　　　　　　　　　　　　　　　　　　　　</w:t>
      </w:r>
      <w:hyperlink w:anchor="aaa" w:history="1">
        <w:r w:rsidR="001A42CE" w:rsidRPr="00072360">
          <w:rPr>
            <w:rStyle w:val="a3"/>
            <w:rFonts w:ascii="微軟正黑體" w:eastAsia="微軟正黑體" w:hAnsi="微軟正黑體" w:hint="eastAsia"/>
            <w:sz w:val="18"/>
          </w:rPr>
          <w:t>回索引</w:t>
        </w:r>
      </w:hyperlink>
      <w:r w:rsidR="009F4801" w:rsidRPr="00072360">
        <w:rPr>
          <w:rFonts w:ascii="微軟正黑體" w:eastAsia="微軟正黑體" w:hAnsi="微軟正黑體" w:hint="eastAsia"/>
          <w:color w:val="808000"/>
          <w:sz w:val="18"/>
        </w:rPr>
        <w:t>〉〉</w:t>
      </w:r>
    </w:p>
    <w:p w14:paraId="1FDBC287" w14:textId="77777777" w:rsidR="00011872" w:rsidRPr="00072360" w:rsidRDefault="00011872" w:rsidP="009909C8">
      <w:pPr>
        <w:pStyle w:val="1"/>
        <w:rPr>
          <w:rFonts w:ascii="微軟正黑體" w:eastAsia="微軟正黑體" w:hAnsi="微軟正黑體"/>
        </w:rPr>
      </w:pPr>
      <w:bookmarkStart w:id="10" w:name="_第五章__價格管理與費用補償"/>
      <w:bookmarkEnd w:id="10"/>
      <w:r w:rsidRPr="00072360">
        <w:rPr>
          <w:rFonts w:ascii="微軟正黑體" w:eastAsia="微軟正黑體" w:hAnsi="微軟正黑體" w:hint="eastAsia"/>
        </w:rPr>
        <w:t>第五章</w:t>
      </w:r>
      <w:r w:rsidR="00E270AE" w:rsidRPr="00072360">
        <w:rPr>
          <w:rFonts w:ascii="微軟正黑體" w:eastAsia="微軟正黑體" w:hAnsi="微軟正黑體" w:hint="eastAsia"/>
        </w:rPr>
        <w:t xml:space="preserve">　　</w:t>
      </w:r>
      <w:r w:rsidRPr="00072360">
        <w:rPr>
          <w:rFonts w:ascii="微軟正黑體" w:eastAsia="微軟正黑體" w:hAnsi="微軟正黑體" w:hint="eastAsia"/>
        </w:rPr>
        <w:t>價格管理與費用補償</w:t>
      </w:r>
    </w:p>
    <w:p w14:paraId="5E85E987" w14:textId="77777777" w:rsidR="007561CE" w:rsidRDefault="009C5241" w:rsidP="001B4084">
      <w:pPr>
        <w:pStyle w:val="2"/>
        <w:rPr>
          <w:rFonts w:ascii="微軟正黑體" w:eastAsia="微軟正黑體" w:hAnsi="微軟正黑體" w:hint="eastAsia"/>
        </w:rPr>
      </w:pPr>
      <w:bookmarkStart w:id="11" w:name="a19"/>
      <w:bookmarkEnd w:id="11"/>
      <w:r w:rsidRPr="00072360">
        <w:rPr>
          <w:rFonts w:ascii="微軟正黑體" w:eastAsia="微軟正黑體" w:hAnsi="微軟正黑體" w:hint="eastAsia"/>
        </w:rPr>
        <w:t>第19</w:t>
      </w:r>
      <w:r w:rsidR="007561CE">
        <w:rPr>
          <w:rFonts w:ascii="微軟正黑體" w:eastAsia="微軟正黑體" w:hAnsi="微軟正黑體" w:hint="eastAsia"/>
        </w:rPr>
        <w:t>條</w:t>
      </w:r>
    </w:p>
    <w:p w14:paraId="015BA481" w14:textId="6F0D1581"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可再生能源發電項目的上網電價，由國務院價格主管部門根據不同類型可再生能源發電的特點和不同地區的情況，按照有利於促進可再生能源開發利用和經濟合理的原則確定，並根據可再生能源開發利用技術的發展適時調整。上網電價應當公佈</w:t>
      </w:r>
      <w:r>
        <w:rPr>
          <w:rFonts w:ascii="微軟正黑體" w:eastAsia="微軟正黑體" w:hAnsi="微軟正黑體" w:hint="eastAsia"/>
          <w:sz w:val="20"/>
        </w:rPr>
        <w:t>。</w:t>
      </w:r>
    </w:p>
    <w:p w14:paraId="7E6CD095" w14:textId="168D3794" w:rsidR="00011872" w:rsidRPr="00072360" w:rsidRDefault="007561CE" w:rsidP="00011872">
      <w:pPr>
        <w:ind w:left="142"/>
        <w:jc w:val="both"/>
        <w:rPr>
          <w:rFonts w:ascii="微軟正黑體" w:eastAsia="微軟正黑體" w:hAnsi="微軟正黑體"/>
          <w:color w:val="17365D"/>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2</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color w:val="17365D"/>
          <w:sz w:val="20"/>
        </w:rPr>
        <w:t>依照本法第</w:t>
      </w:r>
      <w:hyperlink w:anchor="a13" w:history="1">
        <w:r w:rsidR="00011872" w:rsidRPr="00072360">
          <w:rPr>
            <w:rStyle w:val="a3"/>
            <w:rFonts w:ascii="微軟正黑體" w:eastAsia="微軟正黑體" w:hAnsi="微軟正黑體" w:hint="eastAsia"/>
          </w:rPr>
          <w:t>十三</w:t>
        </w:r>
      </w:hyperlink>
      <w:r w:rsidR="00011872" w:rsidRPr="00072360">
        <w:rPr>
          <w:rFonts w:ascii="微軟正黑體" w:eastAsia="微軟正黑體" w:hAnsi="微軟正黑體" w:hint="eastAsia"/>
          <w:color w:val="17365D"/>
          <w:sz w:val="20"/>
        </w:rPr>
        <w:t>條第三款規定實行招標的可再生能源發電項目的上網電價，按照中標確定的價格執行；但是，不得高於依照前款規定確定的同類可再生能源發電項目的上網電價水平</w:t>
      </w:r>
      <w:r w:rsidR="00595037" w:rsidRPr="00072360">
        <w:rPr>
          <w:rFonts w:ascii="微軟正黑體" w:eastAsia="微軟正黑體" w:hAnsi="微軟正黑體" w:hint="eastAsia"/>
          <w:color w:val="17365D"/>
          <w:sz w:val="20"/>
        </w:rPr>
        <w:t>。</w:t>
      </w:r>
    </w:p>
    <w:p w14:paraId="7385A03F" w14:textId="77777777" w:rsidR="007561CE" w:rsidRDefault="00011872" w:rsidP="001B4084">
      <w:pPr>
        <w:pStyle w:val="2"/>
        <w:rPr>
          <w:rFonts w:ascii="微軟正黑體" w:eastAsia="微軟正黑體" w:hAnsi="微軟正黑體" w:hint="eastAsia"/>
        </w:rPr>
      </w:pPr>
      <w:bookmarkStart w:id="12" w:name="a20"/>
      <w:bookmarkEnd w:id="12"/>
      <w:r w:rsidRPr="00072360">
        <w:rPr>
          <w:rFonts w:ascii="微軟正黑體" w:eastAsia="微軟正黑體" w:hAnsi="微軟正黑體" w:hint="eastAsia"/>
        </w:rPr>
        <w:t>第</w:t>
      </w:r>
      <w:r w:rsidR="009C5241" w:rsidRPr="00072360">
        <w:rPr>
          <w:rFonts w:ascii="微軟正黑體" w:eastAsia="微軟正黑體" w:hAnsi="微軟正黑體" w:hint="eastAsia"/>
        </w:rPr>
        <w:t>20</w:t>
      </w:r>
      <w:r w:rsidR="007561CE">
        <w:rPr>
          <w:rFonts w:ascii="微軟正黑體" w:eastAsia="微軟正黑體" w:hAnsi="微軟正黑體" w:hint="eastAsia"/>
        </w:rPr>
        <w:t>條</w:t>
      </w:r>
    </w:p>
    <w:p w14:paraId="00017036" w14:textId="6FAFC607" w:rsidR="00011872"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電網企業依照本法第</w:t>
      </w:r>
      <w:hyperlink w:anchor="a19" w:history="1">
        <w:r w:rsidR="00011872" w:rsidRPr="00072360">
          <w:rPr>
            <w:rStyle w:val="a3"/>
            <w:rFonts w:ascii="微軟正黑體" w:eastAsia="微軟正黑體" w:hAnsi="微軟正黑體" w:hint="eastAsia"/>
          </w:rPr>
          <w:t>十九</w:t>
        </w:r>
      </w:hyperlink>
      <w:r w:rsidR="00011872" w:rsidRPr="00072360">
        <w:rPr>
          <w:rFonts w:ascii="微軟正黑體" w:eastAsia="微軟正黑體" w:hAnsi="微軟正黑體" w:hint="eastAsia"/>
          <w:sz w:val="20"/>
        </w:rPr>
        <w:t>條規定確定的上網電價收購可再生能源電量所發生的費用，高於按照常規能源發電平均上網電價計算所發生費用之間的差額，由在全國范圍對銷售電量徵收可再生能源電價附加補償</w:t>
      </w:r>
      <w:r w:rsidR="00595037" w:rsidRPr="00072360">
        <w:rPr>
          <w:rFonts w:ascii="微軟正黑體" w:eastAsia="微軟正黑體" w:hAnsi="微軟正黑體" w:hint="eastAsia"/>
          <w:sz w:val="20"/>
        </w:rPr>
        <w:t>。</w:t>
      </w:r>
    </w:p>
    <w:p w14:paraId="1B9E085D" w14:textId="77777777" w:rsidR="007561CE" w:rsidRDefault="00011872" w:rsidP="001B4084">
      <w:pPr>
        <w:pStyle w:val="2"/>
        <w:rPr>
          <w:rFonts w:ascii="微軟正黑體" w:eastAsia="微軟正黑體" w:hAnsi="微軟正黑體" w:hint="eastAsia"/>
        </w:rPr>
      </w:pPr>
      <w:bookmarkStart w:id="13" w:name="a21"/>
      <w:bookmarkEnd w:id="13"/>
      <w:r w:rsidRPr="00072360">
        <w:rPr>
          <w:rFonts w:ascii="微軟正黑體" w:eastAsia="微軟正黑體" w:hAnsi="微軟正黑體" w:hint="eastAsia"/>
        </w:rPr>
        <w:t>第</w:t>
      </w:r>
      <w:r w:rsidR="009C5241" w:rsidRPr="00072360">
        <w:rPr>
          <w:rFonts w:ascii="微軟正黑體" w:eastAsia="微軟正黑體" w:hAnsi="微軟正黑體" w:hint="eastAsia"/>
        </w:rPr>
        <w:t>21</w:t>
      </w:r>
      <w:r w:rsidR="007561CE">
        <w:rPr>
          <w:rFonts w:ascii="微軟正黑體" w:eastAsia="微軟正黑體" w:hAnsi="微軟正黑體" w:hint="eastAsia"/>
        </w:rPr>
        <w:t>條</w:t>
      </w:r>
    </w:p>
    <w:p w14:paraId="2882BA0A" w14:textId="7CDD8E3D" w:rsidR="00011872"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電網企業為收購可再生能源電量而支付的合理的接網費用以及其他合理的相關費用，可以計入電網企業輸電成本，並從銷售電價中回收</w:t>
      </w:r>
      <w:r w:rsidR="00595037" w:rsidRPr="00072360">
        <w:rPr>
          <w:rFonts w:ascii="微軟正黑體" w:eastAsia="微軟正黑體" w:hAnsi="微軟正黑體" w:hint="eastAsia"/>
          <w:sz w:val="20"/>
        </w:rPr>
        <w:t>。</w:t>
      </w:r>
    </w:p>
    <w:p w14:paraId="11AFD66B" w14:textId="77777777" w:rsidR="007561CE" w:rsidRDefault="00011872" w:rsidP="001B4084">
      <w:pPr>
        <w:pStyle w:val="2"/>
        <w:rPr>
          <w:rFonts w:ascii="微軟正黑體" w:eastAsia="微軟正黑體" w:hAnsi="微軟正黑體" w:hint="eastAsia"/>
        </w:rPr>
      </w:pPr>
      <w:bookmarkStart w:id="14" w:name="a22"/>
      <w:bookmarkEnd w:id="14"/>
      <w:r w:rsidRPr="00072360">
        <w:rPr>
          <w:rFonts w:ascii="微軟正黑體" w:eastAsia="微軟正黑體" w:hAnsi="微軟正黑體" w:hint="eastAsia"/>
        </w:rPr>
        <w:t>第</w:t>
      </w:r>
      <w:r w:rsidR="009C5241" w:rsidRPr="00072360">
        <w:rPr>
          <w:rFonts w:ascii="微軟正黑體" w:eastAsia="微軟正黑體" w:hAnsi="微軟正黑體" w:hint="eastAsia"/>
        </w:rPr>
        <w:t>22</w:t>
      </w:r>
      <w:r w:rsidR="007561CE">
        <w:rPr>
          <w:rFonts w:ascii="微軟正黑體" w:eastAsia="微軟正黑體" w:hAnsi="微軟正黑體" w:hint="eastAsia"/>
        </w:rPr>
        <w:t>條</w:t>
      </w:r>
    </w:p>
    <w:p w14:paraId="27DA9A22" w14:textId="77E7E58D" w:rsidR="00011872"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國家投資或者補貼建設的公共可再生能源獨立電力系統的銷售電價，執行同一地區分類銷售電價，其合理的運行和管理費用超出銷售電價的部分，依照本法第</w:t>
      </w:r>
      <w:hyperlink w:anchor="a20" w:history="1">
        <w:r w:rsidR="00011872" w:rsidRPr="00072360">
          <w:rPr>
            <w:rStyle w:val="a3"/>
            <w:rFonts w:ascii="微軟正黑體" w:eastAsia="微軟正黑體" w:hAnsi="微軟正黑體" w:hint="eastAsia"/>
          </w:rPr>
          <w:t>二十</w:t>
        </w:r>
      </w:hyperlink>
      <w:r w:rsidR="00011872" w:rsidRPr="00072360">
        <w:rPr>
          <w:rFonts w:ascii="微軟正黑體" w:eastAsia="微軟正黑體" w:hAnsi="微軟正黑體" w:hint="eastAsia"/>
          <w:sz w:val="20"/>
        </w:rPr>
        <w:t>條的規定補償</w:t>
      </w:r>
      <w:r w:rsidR="00595037" w:rsidRPr="00072360">
        <w:rPr>
          <w:rFonts w:ascii="微軟正黑體" w:eastAsia="微軟正黑體" w:hAnsi="微軟正黑體" w:hint="eastAsia"/>
          <w:sz w:val="20"/>
        </w:rPr>
        <w:t>。</w:t>
      </w:r>
    </w:p>
    <w:p w14:paraId="4E7621F8" w14:textId="77777777" w:rsidR="007561CE" w:rsidRDefault="00011872" w:rsidP="001B4084">
      <w:pPr>
        <w:pStyle w:val="2"/>
        <w:rPr>
          <w:rFonts w:ascii="微軟正黑體" w:eastAsia="微軟正黑體" w:hAnsi="微軟正黑體" w:hint="eastAsia"/>
        </w:rPr>
      </w:pPr>
      <w:r w:rsidRPr="00072360">
        <w:rPr>
          <w:rFonts w:ascii="微軟正黑體" w:eastAsia="微軟正黑體" w:hAnsi="微軟正黑體" w:hint="eastAsia"/>
        </w:rPr>
        <w:t>第</w:t>
      </w:r>
      <w:r w:rsidR="009C5241" w:rsidRPr="00072360">
        <w:rPr>
          <w:rFonts w:ascii="微軟正黑體" w:eastAsia="微軟正黑體" w:hAnsi="微軟正黑體" w:hint="eastAsia"/>
        </w:rPr>
        <w:t>23</w:t>
      </w:r>
      <w:r w:rsidR="007561CE">
        <w:rPr>
          <w:rFonts w:ascii="微軟正黑體" w:eastAsia="微軟正黑體" w:hAnsi="微軟正黑體" w:hint="eastAsia"/>
        </w:rPr>
        <w:t>條</w:t>
      </w:r>
    </w:p>
    <w:p w14:paraId="12B62AF8" w14:textId="3150B92B"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進入城市管網的可再生能源熱力和燃氣的價格，按照有利於促進可再生能源開發利用和經濟合理的原則，根據價格管理權限確定</w:t>
      </w:r>
      <w:r>
        <w:rPr>
          <w:rFonts w:ascii="微軟正黑體" w:eastAsia="微軟正黑體" w:hAnsi="微軟正黑體" w:hint="eastAsia"/>
          <w:sz w:val="20"/>
        </w:rPr>
        <w:t>。</w:t>
      </w:r>
    </w:p>
    <w:p w14:paraId="2DD87015" w14:textId="68E89ADB" w:rsidR="00011872" w:rsidRPr="00072360" w:rsidRDefault="007561CE" w:rsidP="00011872">
      <w:pPr>
        <w:ind w:left="142"/>
        <w:jc w:val="both"/>
        <w:rPr>
          <w:rFonts w:ascii="微軟正黑體" w:eastAsia="微軟正黑體" w:hAnsi="微軟正黑體"/>
          <w:sz w:val="20"/>
        </w:rPr>
      </w:pPr>
      <w:r>
        <w:rPr>
          <w:rFonts w:ascii="微軟正黑體" w:eastAsia="微軟正黑體" w:hAnsi="微軟正黑體" w:hint="eastAsia"/>
          <w:sz w:val="20"/>
        </w:rPr>
        <w:lastRenderedPageBreak/>
        <w:t xml:space="preserve">　　　　</w:t>
      </w:r>
      <w:r w:rsidR="001A42CE" w:rsidRPr="00072360">
        <w:rPr>
          <w:rFonts w:ascii="微軟正黑體" w:eastAsia="微軟正黑體" w:hAnsi="微軟正黑體"/>
          <w:color w:val="808000"/>
          <w:sz w:val="18"/>
        </w:rPr>
        <w:t xml:space="preserve">　　　　　　　　　　　　　　　　　　　　　　　　　　　　　　　　　　　　　　　　　　　　</w:t>
      </w:r>
      <w:hyperlink w:anchor="aaa" w:history="1">
        <w:r w:rsidR="001A42CE" w:rsidRPr="00072360">
          <w:rPr>
            <w:rStyle w:val="a3"/>
            <w:rFonts w:ascii="微軟正黑體" w:eastAsia="微軟正黑體" w:hAnsi="微軟正黑體" w:hint="eastAsia"/>
            <w:sz w:val="18"/>
          </w:rPr>
          <w:t>回索引</w:t>
        </w:r>
      </w:hyperlink>
      <w:r w:rsidR="009F4801" w:rsidRPr="00072360">
        <w:rPr>
          <w:rFonts w:ascii="微軟正黑體" w:eastAsia="微軟正黑體" w:hAnsi="微軟正黑體" w:hint="eastAsia"/>
          <w:color w:val="808000"/>
          <w:sz w:val="18"/>
        </w:rPr>
        <w:t>〉〉</w:t>
      </w:r>
    </w:p>
    <w:p w14:paraId="6350A773" w14:textId="77777777" w:rsidR="00011872" w:rsidRPr="00072360" w:rsidRDefault="00011872" w:rsidP="009909C8">
      <w:pPr>
        <w:pStyle w:val="1"/>
        <w:rPr>
          <w:rFonts w:ascii="微軟正黑體" w:eastAsia="微軟正黑體" w:hAnsi="微軟正黑體"/>
        </w:rPr>
      </w:pPr>
      <w:bookmarkStart w:id="15" w:name="_第六章__經濟激勵與監督措施"/>
      <w:bookmarkEnd w:id="15"/>
      <w:r w:rsidRPr="00072360">
        <w:rPr>
          <w:rFonts w:ascii="微軟正黑體" w:eastAsia="微軟正黑體" w:hAnsi="微軟正黑體" w:hint="eastAsia"/>
        </w:rPr>
        <w:t>第六章</w:t>
      </w:r>
      <w:r w:rsidR="00E270AE" w:rsidRPr="00072360">
        <w:rPr>
          <w:rFonts w:ascii="微軟正黑體" w:eastAsia="微軟正黑體" w:hAnsi="微軟正黑體" w:hint="eastAsia"/>
        </w:rPr>
        <w:t xml:space="preserve">　　</w:t>
      </w:r>
      <w:r w:rsidRPr="00072360">
        <w:rPr>
          <w:rFonts w:ascii="微軟正黑體" w:eastAsia="微軟正黑體" w:hAnsi="微軟正黑體" w:hint="eastAsia"/>
        </w:rPr>
        <w:t>經濟激勵與監督措施</w:t>
      </w:r>
    </w:p>
    <w:p w14:paraId="5840577D" w14:textId="77777777" w:rsidR="007561CE" w:rsidRDefault="00011872" w:rsidP="001B4084">
      <w:pPr>
        <w:pStyle w:val="2"/>
        <w:rPr>
          <w:rFonts w:ascii="微軟正黑體" w:eastAsia="微軟正黑體" w:hAnsi="微軟正黑體" w:hint="eastAsia"/>
        </w:rPr>
      </w:pPr>
      <w:r w:rsidRPr="00072360">
        <w:rPr>
          <w:rFonts w:ascii="微軟正黑體" w:eastAsia="微軟正黑體" w:hAnsi="微軟正黑體" w:hint="eastAsia"/>
        </w:rPr>
        <w:t>第</w:t>
      </w:r>
      <w:r w:rsidR="009C5241" w:rsidRPr="00072360">
        <w:rPr>
          <w:rFonts w:ascii="微軟正黑體" w:eastAsia="微軟正黑體" w:hAnsi="微軟正黑體" w:hint="eastAsia"/>
        </w:rPr>
        <w:t>24</w:t>
      </w:r>
      <w:r w:rsidR="007561CE">
        <w:rPr>
          <w:rFonts w:ascii="微軟正黑體" w:eastAsia="微軟正黑體" w:hAnsi="微軟正黑體" w:hint="eastAsia"/>
        </w:rPr>
        <w:t>條</w:t>
      </w:r>
    </w:p>
    <w:p w14:paraId="02E20A81" w14:textId="25AA46E5"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國家財政設立可再生能源發展基金，資金來源包括國家財政年度安排的專項資金和依法徵收的可再生能源電價附加收入等</w:t>
      </w:r>
      <w:r>
        <w:rPr>
          <w:rFonts w:ascii="微軟正黑體" w:eastAsia="微軟正黑體" w:hAnsi="微軟正黑體" w:hint="eastAsia"/>
          <w:sz w:val="20"/>
        </w:rPr>
        <w:t>。</w:t>
      </w:r>
    </w:p>
    <w:p w14:paraId="016C1876" w14:textId="2FCA1CC2" w:rsidR="007561CE"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2</w:t>
      </w:r>
      <w:r w:rsidRPr="00A80C31">
        <w:rPr>
          <w:rFonts w:ascii="Calibri" w:eastAsia="微軟正黑體" w:hAnsi="Calibri" w:hint="eastAsia"/>
          <w:color w:val="404040"/>
          <w:sz w:val="16"/>
        </w:rPr>
        <w:t>﹞</w:t>
      </w:r>
      <w:r w:rsidRPr="00072360">
        <w:rPr>
          <w:rFonts w:ascii="微軟正黑體" w:eastAsia="微軟正黑體" w:hAnsi="微軟正黑體" w:hint="eastAsia"/>
          <w:sz w:val="20"/>
        </w:rPr>
        <w:t>可再生能源發展基金用於補償本法第</w:t>
      </w:r>
      <w:hyperlink w:anchor="a20" w:history="1">
        <w:r w:rsidRPr="00072360">
          <w:rPr>
            <w:rStyle w:val="a3"/>
            <w:rFonts w:ascii="微軟正黑體" w:eastAsia="微軟正黑體" w:hAnsi="微軟正黑體" w:hint="eastAsia"/>
          </w:rPr>
          <w:t>二十</w:t>
        </w:r>
      </w:hyperlink>
      <w:r w:rsidRPr="00072360">
        <w:rPr>
          <w:rFonts w:ascii="微軟正黑體" w:eastAsia="微軟正黑體" w:hAnsi="微軟正黑體" w:hint="eastAsia"/>
          <w:sz w:val="20"/>
        </w:rPr>
        <w:t>條、第</w:t>
      </w:r>
      <w:hyperlink w:anchor="a22" w:history="1">
        <w:r w:rsidRPr="00072360">
          <w:rPr>
            <w:rStyle w:val="a3"/>
            <w:rFonts w:ascii="微軟正黑體" w:eastAsia="微軟正黑體" w:hAnsi="微軟正黑體" w:hint="eastAsia"/>
          </w:rPr>
          <w:t>二十二</w:t>
        </w:r>
      </w:hyperlink>
      <w:r w:rsidRPr="00072360">
        <w:rPr>
          <w:rFonts w:ascii="微軟正黑體" w:eastAsia="微軟正黑體" w:hAnsi="微軟正黑體" w:hint="eastAsia"/>
          <w:sz w:val="20"/>
        </w:rPr>
        <w:t>條規定的差額費用，並用於支持以下事項：</w:t>
      </w:r>
    </w:p>
    <w:p w14:paraId="2AF32A87" w14:textId="77777777" w:rsidR="007561CE" w:rsidRPr="00072360" w:rsidRDefault="007561CE" w:rsidP="00011872">
      <w:pPr>
        <w:ind w:left="142"/>
        <w:jc w:val="both"/>
        <w:rPr>
          <w:rFonts w:ascii="微軟正黑體" w:eastAsia="微軟正黑體" w:hAnsi="微軟正黑體"/>
          <w:sz w:val="20"/>
        </w:rPr>
      </w:pPr>
      <w:r w:rsidRPr="00072360">
        <w:rPr>
          <w:rFonts w:ascii="微軟正黑體" w:eastAsia="微軟正黑體" w:hAnsi="微軟正黑體" w:hint="eastAsia"/>
          <w:sz w:val="20"/>
        </w:rPr>
        <w:t xml:space="preserve">　　（一）可再生能源開發利用的科學技術研究、標準制定和示範工程；</w:t>
      </w:r>
    </w:p>
    <w:p w14:paraId="4DB357B5" w14:textId="77777777" w:rsidR="007561CE" w:rsidRPr="00072360" w:rsidRDefault="007561CE" w:rsidP="00011872">
      <w:pPr>
        <w:ind w:left="142"/>
        <w:jc w:val="both"/>
        <w:rPr>
          <w:rFonts w:ascii="微軟正黑體" w:eastAsia="微軟正黑體" w:hAnsi="微軟正黑體"/>
          <w:sz w:val="20"/>
        </w:rPr>
      </w:pPr>
      <w:r w:rsidRPr="00072360">
        <w:rPr>
          <w:rFonts w:ascii="微軟正黑體" w:eastAsia="微軟正黑體" w:hAnsi="微軟正黑體" w:hint="eastAsia"/>
          <w:sz w:val="20"/>
        </w:rPr>
        <w:t xml:space="preserve">　　（二）農村、牧區的可再生能源利用項目；</w:t>
      </w:r>
    </w:p>
    <w:p w14:paraId="743897D9" w14:textId="77777777" w:rsidR="007561CE" w:rsidRPr="00072360" w:rsidRDefault="007561CE" w:rsidP="00011872">
      <w:pPr>
        <w:ind w:left="142"/>
        <w:jc w:val="both"/>
        <w:rPr>
          <w:rFonts w:ascii="微軟正黑體" w:eastAsia="微軟正黑體" w:hAnsi="微軟正黑體"/>
          <w:sz w:val="20"/>
        </w:rPr>
      </w:pPr>
      <w:r w:rsidRPr="00072360">
        <w:rPr>
          <w:rFonts w:ascii="微軟正黑體" w:eastAsia="微軟正黑體" w:hAnsi="微軟正黑體" w:hint="eastAsia"/>
          <w:sz w:val="20"/>
        </w:rPr>
        <w:t xml:space="preserve">　　（三）偏遠地區和海島可再生能源獨立電力系統建設；</w:t>
      </w:r>
    </w:p>
    <w:p w14:paraId="3A26674E" w14:textId="77777777" w:rsidR="007561CE" w:rsidRPr="00072360" w:rsidRDefault="007561CE" w:rsidP="00011872">
      <w:pPr>
        <w:ind w:left="142"/>
        <w:jc w:val="both"/>
        <w:rPr>
          <w:rFonts w:ascii="微軟正黑體" w:eastAsia="微軟正黑體" w:hAnsi="微軟正黑體"/>
          <w:sz w:val="20"/>
        </w:rPr>
      </w:pPr>
      <w:r w:rsidRPr="00072360">
        <w:rPr>
          <w:rFonts w:ascii="微軟正黑體" w:eastAsia="微軟正黑體" w:hAnsi="微軟正黑體" w:hint="eastAsia"/>
          <w:sz w:val="20"/>
        </w:rPr>
        <w:t xml:space="preserve">　　（四）可再生能源的資源勘查、評價和相關信息系統建設；</w:t>
      </w:r>
    </w:p>
    <w:p w14:paraId="0F52CA51" w14:textId="6E55DE65" w:rsidR="007561CE" w:rsidRDefault="007561CE" w:rsidP="00011872">
      <w:pPr>
        <w:ind w:left="142"/>
        <w:jc w:val="both"/>
        <w:rPr>
          <w:rFonts w:ascii="微軟正黑體" w:eastAsia="微軟正黑體" w:hAnsi="微軟正黑體" w:hint="eastAsia"/>
          <w:sz w:val="20"/>
        </w:rPr>
      </w:pPr>
      <w:r w:rsidRPr="00072360">
        <w:rPr>
          <w:rFonts w:ascii="微軟正黑體" w:eastAsia="微軟正黑體" w:hAnsi="微軟正黑體" w:hint="eastAsia"/>
          <w:sz w:val="20"/>
        </w:rPr>
        <w:t xml:space="preserve">　　（五）促進可再生能源開發利用設備的本地化生產</w:t>
      </w:r>
      <w:r>
        <w:rPr>
          <w:rFonts w:ascii="微軟正黑體" w:eastAsia="微軟正黑體" w:hAnsi="微軟正黑體" w:hint="eastAsia"/>
          <w:sz w:val="20"/>
        </w:rPr>
        <w:t>。</w:t>
      </w:r>
    </w:p>
    <w:p w14:paraId="36767BA1" w14:textId="7338463C"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3</w:t>
      </w:r>
      <w:r w:rsidRPr="00A80C31">
        <w:rPr>
          <w:rFonts w:ascii="Calibri" w:eastAsia="微軟正黑體" w:hAnsi="Calibri" w:hint="eastAsia"/>
          <w:color w:val="404040"/>
          <w:sz w:val="16"/>
        </w:rPr>
        <w:t>﹞</w:t>
      </w:r>
      <w:r w:rsidRPr="00072360">
        <w:rPr>
          <w:rFonts w:ascii="微軟正黑體" w:eastAsia="微軟正黑體" w:hAnsi="微軟正黑體" w:hint="eastAsia"/>
          <w:color w:val="17365D"/>
          <w:sz w:val="20"/>
        </w:rPr>
        <w:t>本法第</w:t>
      </w:r>
      <w:hyperlink w:anchor="a21" w:history="1">
        <w:r w:rsidRPr="00072360">
          <w:rPr>
            <w:rStyle w:val="a3"/>
            <w:rFonts w:ascii="微軟正黑體" w:eastAsia="微軟正黑體" w:hAnsi="微軟正黑體" w:hint="eastAsia"/>
          </w:rPr>
          <w:t>二十一</w:t>
        </w:r>
      </w:hyperlink>
      <w:r w:rsidRPr="00072360">
        <w:rPr>
          <w:rFonts w:ascii="微軟正黑體" w:eastAsia="微軟正黑體" w:hAnsi="微軟正黑體" w:hint="eastAsia"/>
          <w:color w:val="17365D"/>
          <w:sz w:val="20"/>
        </w:rPr>
        <w:t>條規定的接網費用以及其他相關費用，電網企業不能通過銷售電價回收的，可以申請可再生能源發展基金補助</w:t>
      </w:r>
      <w:r>
        <w:rPr>
          <w:rFonts w:ascii="微軟正黑體" w:eastAsia="微軟正黑體" w:hAnsi="微軟正黑體" w:hint="eastAsia"/>
          <w:sz w:val="20"/>
        </w:rPr>
        <w:t>。</w:t>
      </w:r>
    </w:p>
    <w:p w14:paraId="4413F766" w14:textId="51CA2D2A" w:rsidR="00011872"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4</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可再生能源發展基金徵收使用管理的具體辦法，由國務院財政部門會同國務院能源、價格主管部門製定</w:t>
      </w:r>
      <w:r w:rsidR="00595037" w:rsidRPr="00072360">
        <w:rPr>
          <w:rFonts w:ascii="微軟正黑體" w:eastAsia="微軟正黑體" w:hAnsi="微軟正黑體" w:hint="eastAsia"/>
          <w:sz w:val="20"/>
        </w:rPr>
        <w:t>。</w:t>
      </w:r>
    </w:p>
    <w:p w14:paraId="20062DEE" w14:textId="77777777" w:rsidR="007561CE" w:rsidRDefault="00011872" w:rsidP="001B4084">
      <w:pPr>
        <w:pStyle w:val="2"/>
        <w:rPr>
          <w:rFonts w:ascii="微軟正黑體" w:eastAsia="微軟正黑體" w:hAnsi="微軟正黑體" w:hint="eastAsia"/>
        </w:rPr>
      </w:pPr>
      <w:r w:rsidRPr="00072360">
        <w:rPr>
          <w:rFonts w:ascii="微軟正黑體" w:eastAsia="微軟正黑體" w:hAnsi="微軟正黑體" w:hint="eastAsia"/>
        </w:rPr>
        <w:t>第</w:t>
      </w:r>
      <w:r w:rsidR="009C5241" w:rsidRPr="00072360">
        <w:rPr>
          <w:rFonts w:ascii="微軟正黑體" w:eastAsia="微軟正黑體" w:hAnsi="微軟正黑體" w:hint="eastAsia"/>
        </w:rPr>
        <w:t>25</w:t>
      </w:r>
      <w:r w:rsidR="007561CE">
        <w:rPr>
          <w:rFonts w:ascii="微軟正黑體" w:eastAsia="微軟正黑體" w:hAnsi="微軟正黑體" w:hint="eastAsia"/>
        </w:rPr>
        <w:t>條</w:t>
      </w:r>
    </w:p>
    <w:p w14:paraId="1B08710A" w14:textId="1C494509" w:rsidR="00011872"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對列入國家可再生能源產業發展指導目錄、符合信貸條件的可再生能源開發利用項目，金融機構可以提供有財政貼息的優惠貸款</w:t>
      </w:r>
      <w:r w:rsidR="00595037" w:rsidRPr="00072360">
        <w:rPr>
          <w:rFonts w:ascii="微軟正黑體" w:eastAsia="微軟正黑體" w:hAnsi="微軟正黑體" w:hint="eastAsia"/>
          <w:sz w:val="20"/>
        </w:rPr>
        <w:t>。</w:t>
      </w:r>
    </w:p>
    <w:p w14:paraId="4432F440" w14:textId="77777777" w:rsidR="007561CE" w:rsidRDefault="00011872" w:rsidP="001B4084">
      <w:pPr>
        <w:pStyle w:val="2"/>
        <w:rPr>
          <w:rFonts w:ascii="微軟正黑體" w:eastAsia="微軟正黑體" w:hAnsi="微軟正黑體" w:hint="eastAsia"/>
        </w:rPr>
      </w:pPr>
      <w:r w:rsidRPr="00072360">
        <w:rPr>
          <w:rFonts w:ascii="微軟正黑體" w:eastAsia="微軟正黑體" w:hAnsi="微軟正黑體" w:hint="eastAsia"/>
        </w:rPr>
        <w:t>第</w:t>
      </w:r>
      <w:r w:rsidR="009C5241" w:rsidRPr="00072360">
        <w:rPr>
          <w:rFonts w:ascii="微軟正黑體" w:eastAsia="微軟正黑體" w:hAnsi="微軟正黑體" w:hint="eastAsia"/>
        </w:rPr>
        <w:t>26</w:t>
      </w:r>
      <w:r w:rsidR="007561CE">
        <w:rPr>
          <w:rFonts w:ascii="微軟正黑體" w:eastAsia="微軟正黑體" w:hAnsi="微軟正黑體" w:hint="eastAsia"/>
        </w:rPr>
        <w:t>條</w:t>
      </w:r>
    </w:p>
    <w:p w14:paraId="507CF0F6" w14:textId="79989903" w:rsidR="00011872"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國家對列入可再生能源產業發展指導目錄的項目給予稅收優惠。具體辦法由國務院規定</w:t>
      </w:r>
      <w:r w:rsidR="00595037" w:rsidRPr="00072360">
        <w:rPr>
          <w:rFonts w:ascii="微軟正黑體" w:eastAsia="微軟正黑體" w:hAnsi="微軟正黑體" w:hint="eastAsia"/>
          <w:sz w:val="20"/>
        </w:rPr>
        <w:t>。</w:t>
      </w:r>
    </w:p>
    <w:p w14:paraId="36DF4C77" w14:textId="77777777" w:rsidR="007561CE" w:rsidRDefault="00011872" w:rsidP="001B4084">
      <w:pPr>
        <w:pStyle w:val="2"/>
        <w:rPr>
          <w:rFonts w:ascii="微軟正黑體" w:eastAsia="微軟正黑體" w:hAnsi="微軟正黑體" w:hint="eastAsia"/>
        </w:rPr>
      </w:pPr>
      <w:r w:rsidRPr="00072360">
        <w:rPr>
          <w:rFonts w:ascii="微軟正黑體" w:eastAsia="微軟正黑體" w:hAnsi="微軟正黑體" w:hint="eastAsia"/>
        </w:rPr>
        <w:t>第</w:t>
      </w:r>
      <w:r w:rsidR="009C5241" w:rsidRPr="00072360">
        <w:rPr>
          <w:rFonts w:ascii="微軟正黑體" w:eastAsia="微軟正黑體" w:hAnsi="微軟正黑體" w:hint="eastAsia"/>
        </w:rPr>
        <w:t>27</w:t>
      </w:r>
      <w:r w:rsidR="007561CE">
        <w:rPr>
          <w:rFonts w:ascii="微軟正黑體" w:eastAsia="微軟正黑體" w:hAnsi="微軟正黑體" w:hint="eastAsia"/>
        </w:rPr>
        <w:t>條</w:t>
      </w:r>
    </w:p>
    <w:p w14:paraId="0F3355A3" w14:textId="7A792ECE"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電力企業應當真實、完整地記載和保存可再生能源發電的有關資料，並接受電力監管機構的檢查和監督</w:t>
      </w:r>
      <w:r>
        <w:rPr>
          <w:rFonts w:ascii="微軟正黑體" w:eastAsia="微軟正黑體" w:hAnsi="微軟正黑體" w:hint="eastAsia"/>
          <w:sz w:val="20"/>
        </w:rPr>
        <w:t>。</w:t>
      </w:r>
    </w:p>
    <w:p w14:paraId="76CB971A" w14:textId="0740B8E4" w:rsidR="007561CE" w:rsidRDefault="007561CE" w:rsidP="00011872">
      <w:pPr>
        <w:ind w:left="142"/>
        <w:jc w:val="both"/>
        <w:rPr>
          <w:rFonts w:ascii="微軟正黑體" w:eastAsia="微軟正黑體" w:hAnsi="微軟正黑體" w:hint="eastAsia"/>
          <w:color w:val="17365D"/>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2</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color w:val="17365D"/>
          <w:sz w:val="20"/>
        </w:rPr>
        <w:t>電力監管機構進行檢查時，應當依照規定的程序進行，並為被檢查單位保守商業秘密和其他秘密</w:t>
      </w:r>
      <w:r>
        <w:rPr>
          <w:rFonts w:ascii="微軟正黑體" w:eastAsia="微軟正黑體" w:hAnsi="微軟正黑體" w:hint="eastAsia"/>
          <w:color w:val="17365D"/>
          <w:sz w:val="20"/>
        </w:rPr>
        <w:t>。</w:t>
      </w:r>
    </w:p>
    <w:p w14:paraId="2F070745" w14:textId="417097D4" w:rsidR="00011872" w:rsidRPr="00072360" w:rsidRDefault="007561CE" w:rsidP="00011872">
      <w:pPr>
        <w:ind w:left="142"/>
        <w:jc w:val="both"/>
        <w:rPr>
          <w:rFonts w:ascii="微軟正黑體" w:eastAsia="微軟正黑體" w:hAnsi="微軟正黑體"/>
          <w:sz w:val="20"/>
        </w:rPr>
      </w:pPr>
      <w:r>
        <w:rPr>
          <w:rFonts w:ascii="微軟正黑體" w:eastAsia="微軟正黑體" w:hAnsi="微軟正黑體" w:hint="eastAsia"/>
          <w:color w:val="17365D"/>
          <w:sz w:val="20"/>
        </w:rPr>
        <w:t xml:space="preserve">　　　　</w:t>
      </w:r>
      <w:r w:rsidR="001A42CE" w:rsidRPr="00072360">
        <w:rPr>
          <w:rFonts w:ascii="微軟正黑體" w:eastAsia="微軟正黑體" w:hAnsi="微軟正黑體"/>
          <w:color w:val="808000"/>
          <w:sz w:val="18"/>
        </w:rPr>
        <w:t xml:space="preserve">　　　　　　　　　　　　　　　　　　　　　　　　　　　　　　　　　　　　　　　　　　　　</w:t>
      </w:r>
      <w:hyperlink w:anchor="aaa" w:history="1">
        <w:r w:rsidR="001A42CE" w:rsidRPr="00072360">
          <w:rPr>
            <w:rStyle w:val="a3"/>
            <w:rFonts w:ascii="微軟正黑體" w:eastAsia="微軟正黑體" w:hAnsi="微軟正黑體" w:hint="eastAsia"/>
            <w:sz w:val="18"/>
          </w:rPr>
          <w:t>回索引</w:t>
        </w:r>
      </w:hyperlink>
      <w:r w:rsidR="009F4801" w:rsidRPr="00072360">
        <w:rPr>
          <w:rFonts w:ascii="微軟正黑體" w:eastAsia="微軟正黑體" w:hAnsi="微軟正黑體" w:hint="eastAsia"/>
          <w:color w:val="808000"/>
          <w:sz w:val="18"/>
        </w:rPr>
        <w:t>〉〉</w:t>
      </w:r>
    </w:p>
    <w:p w14:paraId="3BAEA188" w14:textId="77777777" w:rsidR="00011872" w:rsidRPr="00072360" w:rsidRDefault="00011872" w:rsidP="009909C8">
      <w:pPr>
        <w:pStyle w:val="1"/>
        <w:rPr>
          <w:rFonts w:ascii="微軟正黑體" w:eastAsia="微軟正黑體" w:hAnsi="微軟正黑體"/>
        </w:rPr>
      </w:pPr>
      <w:bookmarkStart w:id="16" w:name="_第七章__法律責任"/>
      <w:bookmarkEnd w:id="16"/>
      <w:r w:rsidRPr="00072360">
        <w:rPr>
          <w:rFonts w:ascii="微軟正黑體" w:eastAsia="微軟正黑體" w:hAnsi="微軟正黑體" w:hint="eastAsia"/>
        </w:rPr>
        <w:t>第七章</w:t>
      </w:r>
      <w:r w:rsidR="00E270AE" w:rsidRPr="00072360">
        <w:rPr>
          <w:rFonts w:ascii="微軟正黑體" w:eastAsia="微軟正黑體" w:hAnsi="微軟正黑體" w:hint="eastAsia"/>
        </w:rPr>
        <w:t xml:space="preserve">　　</w:t>
      </w:r>
      <w:r w:rsidRPr="00072360">
        <w:rPr>
          <w:rFonts w:ascii="微軟正黑體" w:eastAsia="微軟正黑體" w:hAnsi="微軟正黑體" w:hint="eastAsia"/>
        </w:rPr>
        <w:t>法律責任</w:t>
      </w:r>
    </w:p>
    <w:p w14:paraId="6CBA207F" w14:textId="77777777" w:rsidR="007561CE" w:rsidRDefault="00011872" w:rsidP="001B4084">
      <w:pPr>
        <w:pStyle w:val="2"/>
        <w:rPr>
          <w:rFonts w:ascii="微軟正黑體" w:eastAsia="微軟正黑體" w:hAnsi="微軟正黑體" w:hint="eastAsia"/>
        </w:rPr>
      </w:pPr>
      <w:r w:rsidRPr="00072360">
        <w:rPr>
          <w:rFonts w:ascii="微軟正黑體" w:eastAsia="微軟正黑體" w:hAnsi="微軟正黑體" w:hint="eastAsia"/>
        </w:rPr>
        <w:t>第</w:t>
      </w:r>
      <w:r w:rsidR="009C5241" w:rsidRPr="00072360">
        <w:rPr>
          <w:rFonts w:ascii="微軟正黑體" w:eastAsia="微軟正黑體" w:hAnsi="微軟正黑體" w:hint="eastAsia"/>
        </w:rPr>
        <w:t>28</w:t>
      </w:r>
      <w:r w:rsidR="007561CE">
        <w:rPr>
          <w:rFonts w:ascii="微軟正黑體" w:eastAsia="微軟正黑體" w:hAnsi="微軟正黑體" w:hint="eastAsia"/>
        </w:rPr>
        <w:t>條</w:t>
      </w:r>
    </w:p>
    <w:p w14:paraId="4C06C484" w14:textId="05099DD3" w:rsidR="00011872"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國務院能源主管部門和縣級以上地方人民政府管理能源工作的部門和其他有關部門在可再生能源開發利用監督管理工作中，違反本法規定，有下列行為之一的，由本級人民政府或者上級人民政府有關部門責令改正，對負有責任的主管人員和其他直接責任人員依法給予行政處分；構成犯罪的，依法追究刑事責任：</w:t>
      </w:r>
    </w:p>
    <w:p w14:paraId="3AADDFC2" w14:textId="77777777" w:rsidR="00011872" w:rsidRPr="00072360" w:rsidRDefault="00E270AE" w:rsidP="00011872">
      <w:pPr>
        <w:ind w:left="142"/>
        <w:jc w:val="both"/>
        <w:rPr>
          <w:rFonts w:ascii="微軟正黑體" w:eastAsia="微軟正黑體" w:hAnsi="微軟正黑體"/>
          <w:sz w:val="20"/>
        </w:rPr>
      </w:pPr>
      <w:r w:rsidRPr="00072360">
        <w:rPr>
          <w:rFonts w:ascii="微軟正黑體" w:eastAsia="微軟正黑體" w:hAnsi="微軟正黑體" w:hint="eastAsia"/>
          <w:sz w:val="20"/>
        </w:rPr>
        <w:t xml:space="preserve">　　</w:t>
      </w:r>
      <w:r w:rsidR="00011872" w:rsidRPr="00072360">
        <w:rPr>
          <w:rFonts w:ascii="微軟正黑體" w:eastAsia="微軟正黑體" w:hAnsi="微軟正黑體" w:hint="eastAsia"/>
          <w:sz w:val="20"/>
        </w:rPr>
        <w:t>（一）不依法作出行政許可決定的</w:t>
      </w:r>
      <w:r w:rsidR="00A46150" w:rsidRPr="00072360">
        <w:rPr>
          <w:rFonts w:ascii="微軟正黑體" w:eastAsia="微軟正黑體" w:hAnsi="微軟正黑體" w:hint="eastAsia"/>
          <w:sz w:val="20"/>
        </w:rPr>
        <w:t>；</w:t>
      </w:r>
    </w:p>
    <w:p w14:paraId="3B6DED38" w14:textId="77777777" w:rsidR="00011872" w:rsidRPr="00072360" w:rsidRDefault="00E270AE" w:rsidP="00011872">
      <w:pPr>
        <w:ind w:left="142"/>
        <w:jc w:val="both"/>
        <w:rPr>
          <w:rFonts w:ascii="微軟正黑體" w:eastAsia="微軟正黑體" w:hAnsi="微軟正黑體"/>
          <w:sz w:val="20"/>
        </w:rPr>
      </w:pPr>
      <w:r w:rsidRPr="00072360">
        <w:rPr>
          <w:rFonts w:ascii="微軟正黑體" w:eastAsia="微軟正黑體" w:hAnsi="微軟正黑體" w:hint="eastAsia"/>
          <w:sz w:val="20"/>
        </w:rPr>
        <w:t xml:space="preserve">　　</w:t>
      </w:r>
      <w:r w:rsidR="00011872" w:rsidRPr="00072360">
        <w:rPr>
          <w:rFonts w:ascii="微軟正黑體" w:eastAsia="微軟正黑體" w:hAnsi="微軟正黑體" w:hint="eastAsia"/>
          <w:sz w:val="20"/>
        </w:rPr>
        <w:t>（二）發現違法行為不予查處的</w:t>
      </w:r>
      <w:r w:rsidR="00A46150" w:rsidRPr="00072360">
        <w:rPr>
          <w:rFonts w:ascii="微軟正黑體" w:eastAsia="微軟正黑體" w:hAnsi="微軟正黑體" w:hint="eastAsia"/>
          <w:sz w:val="20"/>
        </w:rPr>
        <w:t>；</w:t>
      </w:r>
    </w:p>
    <w:p w14:paraId="03324BB9" w14:textId="77777777" w:rsidR="00011872" w:rsidRPr="00072360" w:rsidRDefault="00E270AE" w:rsidP="00011872">
      <w:pPr>
        <w:ind w:left="142"/>
        <w:jc w:val="both"/>
        <w:rPr>
          <w:rFonts w:ascii="微軟正黑體" w:eastAsia="微軟正黑體" w:hAnsi="微軟正黑體"/>
          <w:sz w:val="20"/>
        </w:rPr>
      </w:pPr>
      <w:r w:rsidRPr="00072360">
        <w:rPr>
          <w:rFonts w:ascii="微軟正黑體" w:eastAsia="微軟正黑體" w:hAnsi="微軟正黑體" w:hint="eastAsia"/>
          <w:sz w:val="20"/>
        </w:rPr>
        <w:t xml:space="preserve">　　</w:t>
      </w:r>
      <w:r w:rsidR="00011872" w:rsidRPr="00072360">
        <w:rPr>
          <w:rFonts w:ascii="微軟正黑體" w:eastAsia="微軟正黑體" w:hAnsi="微軟正黑體" w:hint="eastAsia"/>
          <w:sz w:val="20"/>
        </w:rPr>
        <w:t>（三）有不依法履行監督管理職責的其他行為的</w:t>
      </w:r>
      <w:r w:rsidR="00595037" w:rsidRPr="00072360">
        <w:rPr>
          <w:rFonts w:ascii="微軟正黑體" w:eastAsia="微軟正黑體" w:hAnsi="微軟正黑體" w:hint="eastAsia"/>
          <w:sz w:val="20"/>
        </w:rPr>
        <w:t>。</w:t>
      </w:r>
    </w:p>
    <w:p w14:paraId="7DA5219F" w14:textId="77777777" w:rsidR="007561CE" w:rsidRDefault="00011872" w:rsidP="001B4084">
      <w:pPr>
        <w:pStyle w:val="2"/>
        <w:rPr>
          <w:rFonts w:ascii="微軟正黑體" w:eastAsia="微軟正黑體" w:hAnsi="微軟正黑體" w:hint="eastAsia"/>
        </w:rPr>
      </w:pPr>
      <w:bookmarkStart w:id="17" w:name="a29"/>
      <w:bookmarkEnd w:id="17"/>
      <w:r w:rsidRPr="00072360">
        <w:rPr>
          <w:rFonts w:ascii="微軟正黑體" w:eastAsia="微軟正黑體" w:hAnsi="微軟正黑體" w:hint="eastAsia"/>
        </w:rPr>
        <w:t>第</w:t>
      </w:r>
      <w:r w:rsidR="009C5241" w:rsidRPr="00072360">
        <w:rPr>
          <w:rFonts w:ascii="微軟正黑體" w:eastAsia="微軟正黑體" w:hAnsi="微軟正黑體" w:hint="eastAsia"/>
        </w:rPr>
        <w:t>29</w:t>
      </w:r>
      <w:r w:rsidR="007561CE">
        <w:rPr>
          <w:rFonts w:ascii="微軟正黑體" w:eastAsia="微軟正黑體" w:hAnsi="微軟正黑體" w:hint="eastAsia"/>
        </w:rPr>
        <w:t>條</w:t>
      </w:r>
    </w:p>
    <w:p w14:paraId="11B46A83" w14:textId="77FCF6BC" w:rsidR="00011872"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違反本法第</w:t>
      </w:r>
      <w:hyperlink w:anchor="a14" w:history="1">
        <w:r w:rsidR="00011872" w:rsidRPr="00072360">
          <w:rPr>
            <w:rStyle w:val="a3"/>
            <w:rFonts w:ascii="微軟正黑體" w:eastAsia="微軟正黑體" w:hAnsi="微軟正黑體" w:hint="eastAsia"/>
          </w:rPr>
          <w:t>十四</w:t>
        </w:r>
      </w:hyperlink>
      <w:r w:rsidR="00011872" w:rsidRPr="00072360">
        <w:rPr>
          <w:rFonts w:ascii="微軟正黑體" w:eastAsia="微軟正黑體" w:hAnsi="微軟正黑體" w:hint="eastAsia"/>
          <w:sz w:val="20"/>
        </w:rPr>
        <w:t>條規定，電網企業未按照規定完成收購可再生能源電量，造成可再生能源發電企業經濟損失的，應當承擔賠償責任，並由國家電力監管機構責令限期改正；拒不改正的，處以可再生能源發電企業經濟損失額一倍以下的罰款</w:t>
      </w:r>
      <w:r w:rsidR="00595037" w:rsidRPr="00072360">
        <w:rPr>
          <w:rFonts w:ascii="微軟正黑體" w:eastAsia="微軟正黑體" w:hAnsi="微軟正黑體" w:hint="eastAsia"/>
          <w:sz w:val="20"/>
        </w:rPr>
        <w:t>。</w:t>
      </w:r>
    </w:p>
    <w:p w14:paraId="3E31F7E7" w14:textId="77777777" w:rsidR="007561CE" w:rsidRDefault="00011872" w:rsidP="001B4084">
      <w:pPr>
        <w:pStyle w:val="2"/>
        <w:rPr>
          <w:rFonts w:ascii="微軟正黑體" w:eastAsia="微軟正黑體" w:hAnsi="微軟正黑體" w:hint="eastAsia"/>
        </w:rPr>
      </w:pPr>
      <w:bookmarkStart w:id="18" w:name="a30"/>
      <w:bookmarkEnd w:id="18"/>
      <w:r w:rsidRPr="00072360">
        <w:rPr>
          <w:rFonts w:ascii="微軟正黑體" w:eastAsia="微軟正黑體" w:hAnsi="微軟正黑體" w:hint="eastAsia"/>
        </w:rPr>
        <w:lastRenderedPageBreak/>
        <w:t>第</w:t>
      </w:r>
      <w:r w:rsidR="009C5241" w:rsidRPr="00072360">
        <w:rPr>
          <w:rFonts w:ascii="微軟正黑體" w:eastAsia="微軟正黑體" w:hAnsi="微軟正黑體" w:hint="eastAsia"/>
        </w:rPr>
        <w:t>30</w:t>
      </w:r>
      <w:r w:rsidR="007561CE">
        <w:rPr>
          <w:rFonts w:ascii="微軟正黑體" w:eastAsia="微軟正黑體" w:hAnsi="微軟正黑體" w:hint="eastAsia"/>
        </w:rPr>
        <w:t>條</w:t>
      </w:r>
    </w:p>
    <w:p w14:paraId="703325E8" w14:textId="519B3454" w:rsidR="00011872"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違反本法第</w:t>
      </w:r>
      <w:hyperlink w:anchor="a16" w:history="1">
        <w:r w:rsidR="00011872" w:rsidRPr="00072360">
          <w:rPr>
            <w:rStyle w:val="a3"/>
            <w:rFonts w:ascii="微軟正黑體" w:eastAsia="微軟正黑體" w:hAnsi="微軟正黑體" w:hint="eastAsia"/>
          </w:rPr>
          <w:t>十六</w:t>
        </w:r>
      </w:hyperlink>
      <w:r w:rsidR="00011872" w:rsidRPr="00072360">
        <w:rPr>
          <w:rFonts w:ascii="微軟正黑體" w:eastAsia="微軟正黑體" w:hAnsi="微軟正黑體" w:hint="eastAsia"/>
          <w:sz w:val="20"/>
        </w:rPr>
        <w:t>條第二款規定，經營燃氣管網、熱力管網的企業不准許符合入網技術標準的燃氣、熱力入網，造成燃氣、熱力生產企業經濟損失的，應當承擔賠償責任，並由省級人民政府管理能源工作的部門責令限期改正；拒不改正的，處以燃氣、熱力生產企業經濟損失額一倍以下的罰款</w:t>
      </w:r>
      <w:r w:rsidR="00595037" w:rsidRPr="00072360">
        <w:rPr>
          <w:rFonts w:ascii="微軟正黑體" w:eastAsia="微軟正黑體" w:hAnsi="微軟正黑體" w:hint="eastAsia"/>
          <w:sz w:val="20"/>
        </w:rPr>
        <w:t>。</w:t>
      </w:r>
    </w:p>
    <w:p w14:paraId="10E59342" w14:textId="77777777" w:rsidR="007561CE" w:rsidRDefault="00011872" w:rsidP="001B4084">
      <w:pPr>
        <w:pStyle w:val="2"/>
        <w:rPr>
          <w:rFonts w:ascii="微軟正黑體" w:eastAsia="微軟正黑體" w:hAnsi="微軟正黑體" w:hint="eastAsia"/>
        </w:rPr>
      </w:pPr>
      <w:bookmarkStart w:id="19" w:name="a31"/>
      <w:bookmarkEnd w:id="19"/>
      <w:r w:rsidRPr="00072360">
        <w:rPr>
          <w:rFonts w:ascii="微軟正黑體" w:eastAsia="微軟正黑體" w:hAnsi="微軟正黑體" w:hint="eastAsia"/>
        </w:rPr>
        <w:t>第</w:t>
      </w:r>
      <w:r w:rsidR="009C5241" w:rsidRPr="00072360">
        <w:rPr>
          <w:rFonts w:ascii="微軟正黑體" w:eastAsia="微軟正黑體" w:hAnsi="微軟正黑體" w:hint="eastAsia"/>
        </w:rPr>
        <w:t>31</w:t>
      </w:r>
      <w:r w:rsidR="007561CE">
        <w:rPr>
          <w:rFonts w:ascii="微軟正黑體" w:eastAsia="微軟正黑體" w:hAnsi="微軟正黑體" w:hint="eastAsia"/>
        </w:rPr>
        <w:t>條</w:t>
      </w:r>
    </w:p>
    <w:p w14:paraId="1934DE7C" w14:textId="60892CB0" w:rsidR="007561CE" w:rsidRDefault="007561CE" w:rsidP="00011872">
      <w:pPr>
        <w:ind w:left="142"/>
        <w:jc w:val="both"/>
        <w:rPr>
          <w:rFonts w:ascii="微軟正黑體" w:eastAsia="微軟正黑體" w:hAnsi="微軟正黑體" w:hint="eastAsia"/>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違反本法</w:t>
      </w:r>
      <w:r w:rsidR="00D23867" w:rsidRPr="00072360">
        <w:rPr>
          <w:rFonts w:ascii="微軟正黑體" w:eastAsia="微軟正黑體" w:hAnsi="微軟正黑體" w:hint="eastAsia"/>
          <w:sz w:val="20"/>
        </w:rPr>
        <w:t>第</w:t>
      </w:r>
      <w:hyperlink w:anchor="a16" w:history="1">
        <w:r w:rsidR="00D23867" w:rsidRPr="00072360">
          <w:rPr>
            <w:rStyle w:val="a3"/>
            <w:rFonts w:ascii="微軟正黑體" w:eastAsia="微軟正黑體" w:hAnsi="微軟正黑體" w:hint="eastAsia"/>
          </w:rPr>
          <w:t>十六</w:t>
        </w:r>
      </w:hyperlink>
      <w:r w:rsidR="00011872" w:rsidRPr="00072360">
        <w:rPr>
          <w:rFonts w:ascii="微軟正黑體" w:eastAsia="微軟正黑體" w:hAnsi="微軟正黑體" w:hint="eastAsia"/>
          <w:sz w:val="20"/>
        </w:rPr>
        <w:t>條第三款規定，石油銷售企業未按照規定將符合國家標準的生物液體燃料納入其燃料銷售體系，造成生物液體燃料生產企業經濟損失的，應當承擔賠償責任，並由國務院能源主管部門或者省級人民政府管理能源工作的部門責令限期改正；拒不改正的，處以生物液體燃料生產企業經濟損失額一倍以下的罰款</w:t>
      </w:r>
      <w:r>
        <w:rPr>
          <w:rFonts w:ascii="微軟正黑體" w:eastAsia="微軟正黑體" w:hAnsi="微軟正黑體" w:hint="eastAsia"/>
          <w:sz w:val="20"/>
        </w:rPr>
        <w:t>。</w:t>
      </w:r>
    </w:p>
    <w:p w14:paraId="5AFCC262" w14:textId="4453D13F" w:rsidR="00011872" w:rsidRPr="00072360" w:rsidRDefault="007561CE" w:rsidP="00011872">
      <w:pPr>
        <w:ind w:left="142"/>
        <w:jc w:val="both"/>
        <w:rPr>
          <w:rFonts w:ascii="微軟正黑體" w:eastAsia="微軟正黑體" w:hAnsi="微軟正黑體"/>
          <w:sz w:val="20"/>
        </w:rPr>
      </w:pPr>
      <w:r>
        <w:rPr>
          <w:rFonts w:ascii="微軟正黑體" w:eastAsia="微軟正黑體" w:hAnsi="微軟正黑體" w:hint="eastAsia"/>
          <w:sz w:val="20"/>
        </w:rPr>
        <w:t xml:space="preserve">　　　　</w:t>
      </w:r>
      <w:r w:rsidR="001A42CE" w:rsidRPr="00072360">
        <w:rPr>
          <w:rFonts w:ascii="微軟正黑體" w:eastAsia="微軟正黑體" w:hAnsi="微軟正黑體"/>
          <w:color w:val="808000"/>
          <w:sz w:val="18"/>
        </w:rPr>
        <w:t xml:space="preserve">　　　　　　　　　　　　　　　　　　　　　　　　　　　　　　　　　　　　　　　　　　　　</w:t>
      </w:r>
      <w:hyperlink w:anchor="aaa" w:history="1">
        <w:r w:rsidR="001A42CE" w:rsidRPr="00072360">
          <w:rPr>
            <w:rStyle w:val="a3"/>
            <w:rFonts w:ascii="微軟正黑體" w:eastAsia="微軟正黑體" w:hAnsi="微軟正黑體" w:hint="eastAsia"/>
            <w:sz w:val="18"/>
          </w:rPr>
          <w:t>回索引</w:t>
        </w:r>
      </w:hyperlink>
      <w:r w:rsidR="009F4801" w:rsidRPr="00072360">
        <w:rPr>
          <w:rFonts w:ascii="微軟正黑體" w:eastAsia="微軟正黑體" w:hAnsi="微軟正黑體" w:hint="eastAsia"/>
          <w:color w:val="808000"/>
          <w:sz w:val="18"/>
        </w:rPr>
        <w:t>〉〉</w:t>
      </w:r>
    </w:p>
    <w:p w14:paraId="2DBA0611" w14:textId="77777777" w:rsidR="00011872" w:rsidRPr="00072360" w:rsidRDefault="00011872" w:rsidP="009909C8">
      <w:pPr>
        <w:pStyle w:val="1"/>
        <w:rPr>
          <w:rFonts w:ascii="微軟正黑體" w:eastAsia="微軟正黑體" w:hAnsi="微軟正黑體"/>
        </w:rPr>
      </w:pPr>
      <w:bookmarkStart w:id="20" w:name="_第八章__附則"/>
      <w:bookmarkEnd w:id="20"/>
      <w:r w:rsidRPr="00072360">
        <w:rPr>
          <w:rFonts w:ascii="微軟正黑體" w:eastAsia="微軟正黑體" w:hAnsi="微軟正黑體" w:hint="eastAsia"/>
        </w:rPr>
        <w:t>第八章</w:t>
      </w:r>
      <w:r w:rsidR="00E270AE" w:rsidRPr="00072360">
        <w:rPr>
          <w:rFonts w:ascii="微軟正黑體" w:eastAsia="微軟正黑體" w:hAnsi="微軟正黑體" w:hint="eastAsia"/>
        </w:rPr>
        <w:t xml:space="preserve">　　</w:t>
      </w:r>
      <w:r w:rsidRPr="00072360">
        <w:rPr>
          <w:rFonts w:ascii="微軟正黑體" w:eastAsia="微軟正黑體" w:hAnsi="微軟正黑體" w:hint="eastAsia"/>
        </w:rPr>
        <w:t>附</w:t>
      </w:r>
      <w:r w:rsidR="001B4084" w:rsidRPr="00072360">
        <w:rPr>
          <w:rFonts w:ascii="微軟正黑體" w:eastAsia="微軟正黑體" w:hAnsi="微軟正黑體" w:hint="eastAsia"/>
        </w:rPr>
        <w:t xml:space="preserve">　</w:t>
      </w:r>
      <w:r w:rsidRPr="00072360">
        <w:rPr>
          <w:rFonts w:ascii="微軟正黑體" w:eastAsia="微軟正黑體" w:hAnsi="微軟正黑體" w:hint="eastAsia"/>
        </w:rPr>
        <w:t>則</w:t>
      </w:r>
    </w:p>
    <w:p w14:paraId="05ED5F38" w14:textId="77777777" w:rsidR="007561CE" w:rsidRDefault="00011872" w:rsidP="001B4084">
      <w:pPr>
        <w:pStyle w:val="2"/>
        <w:rPr>
          <w:rFonts w:ascii="微軟正黑體" w:eastAsia="微軟正黑體" w:hAnsi="微軟正黑體" w:hint="eastAsia"/>
        </w:rPr>
      </w:pPr>
      <w:r w:rsidRPr="00072360">
        <w:rPr>
          <w:rFonts w:ascii="微軟正黑體" w:eastAsia="微軟正黑體" w:hAnsi="微軟正黑體" w:hint="eastAsia"/>
        </w:rPr>
        <w:t>第</w:t>
      </w:r>
      <w:r w:rsidR="009C5241" w:rsidRPr="00072360">
        <w:rPr>
          <w:rFonts w:ascii="微軟正黑體" w:eastAsia="微軟正黑體" w:hAnsi="微軟正黑體" w:hint="eastAsia"/>
        </w:rPr>
        <w:t>32</w:t>
      </w:r>
      <w:r w:rsidR="007561CE">
        <w:rPr>
          <w:rFonts w:ascii="微軟正黑體" w:eastAsia="微軟正黑體" w:hAnsi="微軟正黑體" w:hint="eastAsia"/>
        </w:rPr>
        <w:t>條</w:t>
      </w:r>
    </w:p>
    <w:p w14:paraId="6B5B27C4" w14:textId="10012BD0" w:rsidR="00011872"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本法中下列用語的含義：</w:t>
      </w:r>
    </w:p>
    <w:p w14:paraId="3CD232E4" w14:textId="77777777" w:rsidR="007561CE" w:rsidRDefault="00E270AE" w:rsidP="00011872">
      <w:pPr>
        <w:ind w:left="142"/>
        <w:jc w:val="both"/>
        <w:rPr>
          <w:rFonts w:ascii="微軟正黑體" w:eastAsia="微軟正黑體" w:hAnsi="微軟正黑體" w:hint="eastAsia"/>
          <w:sz w:val="20"/>
        </w:rPr>
      </w:pPr>
      <w:r w:rsidRPr="00072360">
        <w:rPr>
          <w:rFonts w:ascii="微軟正黑體" w:eastAsia="微軟正黑體" w:hAnsi="微軟正黑體" w:hint="eastAsia"/>
          <w:sz w:val="20"/>
        </w:rPr>
        <w:t xml:space="preserve">　　</w:t>
      </w:r>
      <w:r w:rsidR="00011872" w:rsidRPr="00072360">
        <w:rPr>
          <w:rFonts w:ascii="微軟正黑體" w:eastAsia="微軟正黑體" w:hAnsi="微軟正黑體" w:hint="eastAsia"/>
          <w:sz w:val="20"/>
        </w:rPr>
        <w:t>（一）生物質能，是指利用自然界的植物、糞便以及城鄉有機廢物轉化成的能源</w:t>
      </w:r>
      <w:r w:rsidR="007561CE">
        <w:rPr>
          <w:rFonts w:ascii="微軟正黑體" w:eastAsia="微軟正黑體" w:hAnsi="微軟正黑體" w:hint="eastAsia"/>
          <w:sz w:val="20"/>
        </w:rPr>
        <w:t>。</w:t>
      </w:r>
    </w:p>
    <w:p w14:paraId="06D9F715" w14:textId="5E289FFC" w:rsidR="007561CE" w:rsidRDefault="007561CE" w:rsidP="00011872">
      <w:pPr>
        <w:ind w:left="142"/>
        <w:jc w:val="both"/>
        <w:rPr>
          <w:rFonts w:ascii="微軟正黑體" w:eastAsia="微軟正黑體" w:hAnsi="微軟正黑體" w:hint="eastAsia"/>
          <w:sz w:val="20"/>
        </w:rPr>
      </w:pPr>
      <w:r>
        <w:rPr>
          <w:rFonts w:ascii="微軟正黑體" w:eastAsia="微軟正黑體" w:hAnsi="微軟正黑體" w:hint="eastAsia"/>
          <w:sz w:val="20"/>
        </w:rPr>
        <w:t xml:space="preserve">　　（</w:t>
      </w:r>
      <w:r w:rsidR="00011872" w:rsidRPr="00072360">
        <w:rPr>
          <w:rFonts w:ascii="微軟正黑體" w:eastAsia="微軟正黑體" w:hAnsi="微軟正黑體" w:hint="eastAsia"/>
          <w:sz w:val="20"/>
        </w:rPr>
        <w:t>二）可再生能源獨立電力系統，是指不與電網連接的單獨運行的可再生能源電力系統</w:t>
      </w:r>
      <w:r>
        <w:rPr>
          <w:rFonts w:ascii="微軟正黑體" w:eastAsia="微軟正黑體" w:hAnsi="微軟正黑體" w:hint="eastAsia"/>
          <w:sz w:val="20"/>
        </w:rPr>
        <w:t>。</w:t>
      </w:r>
    </w:p>
    <w:p w14:paraId="780282CA" w14:textId="0C81C2BA" w:rsidR="007561CE" w:rsidRDefault="007561CE" w:rsidP="00011872">
      <w:pPr>
        <w:ind w:left="142"/>
        <w:jc w:val="both"/>
        <w:rPr>
          <w:rFonts w:ascii="微軟正黑體" w:eastAsia="微軟正黑體" w:hAnsi="微軟正黑體" w:hint="eastAsia"/>
          <w:sz w:val="20"/>
        </w:rPr>
      </w:pPr>
      <w:r>
        <w:rPr>
          <w:rFonts w:ascii="微軟正黑體" w:eastAsia="微軟正黑體" w:hAnsi="微軟正黑體" w:hint="eastAsia"/>
          <w:sz w:val="20"/>
        </w:rPr>
        <w:t xml:space="preserve">　　（</w:t>
      </w:r>
      <w:r w:rsidR="00011872" w:rsidRPr="00072360">
        <w:rPr>
          <w:rFonts w:ascii="微軟正黑體" w:eastAsia="微軟正黑體" w:hAnsi="微軟正黑體" w:hint="eastAsia"/>
          <w:sz w:val="20"/>
        </w:rPr>
        <w:t>三）能源作物，是指經專門種植，用以提供能源原料的草本和木本植物</w:t>
      </w:r>
      <w:r>
        <w:rPr>
          <w:rFonts w:ascii="微軟正黑體" w:eastAsia="微軟正黑體" w:hAnsi="微軟正黑體" w:hint="eastAsia"/>
          <w:sz w:val="20"/>
        </w:rPr>
        <w:t>。</w:t>
      </w:r>
    </w:p>
    <w:p w14:paraId="5D9ADDBA" w14:textId="5A2F5D3D" w:rsidR="00011872" w:rsidRPr="00072360" w:rsidRDefault="007561CE" w:rsidP="00011872">
      <w:pPr>
        <w:ind w:left="142"/>
        <w:jc w:val="both"/>
        <w:rPr>
          <w:rFonts w:ascii="微軟正黑體" w:eastAsia="微軟正黑體" w:hAnsi="微軟正黑體"/>
          <w:sz w:val="20"/>
        </w:rPr>
      </w:pPr>
      <w:r>
        <w:rPr>
          <w:rFonts w:ascii="微軟正黑體" w:eastAsia="微軟正黑體" w:hAnsi="微軟正黑體" w:hint="eastAsia"/>
          <w:sz w:val="20"/>
        </w:rPr>
        <w:t xml:space="preserve">　　（</w:t>
      </w:r>
      <w:r w:rsidR="00011872" w:rsidRPr="00072360">
        <w:rPr>
          <w:rFonts w:ascii="微軟正黑體" w:eastAsia="微軟正黑體" w:hAnsi="微軟正黑體" w:hint="eastAsia"/>
          <w:sz w:val="20"/>
        </w:rPr>
        <w:t>四）生物液體燃料，是指利用生物質資源生產的甲醇、乙醇和生物柴油等液體燃料</w:t>
      </w:r>
      <w:r w:rsidR="00595037" w:rsidRPr="00072360">
        <w:rPr>
          <w:rFonts w:ascii="微軟正黑體" w:eastAsia="微軟正黑體" w:hAnsi="微軟正黑體" w:hint="eastAsia"/>
          <w:sz w:val="20"/>
        </w:rPr>
        <w:t>。</w:t>
      </w:r>
    </w:p>
    <w:p w14:paraId="590DCB08" w14:textId="77777777" w:rsidR="007561CE" w:rsidRDefault="00011872" w:rsidP="001B4084">
      <w:pPr>
        <w:pStyle w:val="2"/>
        <w:rPr>
          <w:rFonts w:ascii="微軟正黑體" w:eastAsia="微軟正黑體" w:hAnsi="微軟正黑體" w:hint="eastAsia"/>
        </w:rPr>
      </w:pPr>
      <w:r w:rsidRPr="00072360">
        <w:rPr>
          <w:rFonts w:ascii="微軟正黑體" w:eastAsia="微軟正黑體" w:hAnsi="微軟正黑體" w:hint="eastAsia"/>
        </w:rPr>
        <w:t>第</w:t>
      </w:r>
      <w:r w:rsidR="009C5241" w:rsidRPr="00072360">
        <w:rPr>
          <w:rFonts w:ascii="微軟正黑體" w:eastAsia="微軟正黑體" w:hAnsi="微軟正黑體" w:hint="eastAsia"/>
        </w:rPr>
        <w:t>33</w:t>
      </w:r>
      <w:r w:rsidR="007561CE">
        <w:rPr>
          <w:rFonts w:ascii="微軟正黑體" w:eastAsia="微軟正黑體" w:hAnsi="微軟正黑體" w:hint="eastAsia"/>
        </w:rPr>
        <w:t>條</w:t>
      </w:r>
    </w:p>
    <w:p w14:paraId="3C185C91" w14:textId="572DE0E1" w:rsidR="00011872" w:rsidRPr="00072360" w:rsidRDefault="007561CE" w:rsidP="00011872">
      <w:pPr>
        <w:ind w:left="142"/>
        <w:jc w:val="both"/>
        <w:rPr>
          <w:rFonts w:ascii="微軟正黑體" w:eastAsia="微軟正黑體" w:hAnsi="微軟正黑體"/>
          <w:sz w:val="20"/>
        </w:rPr>
      </w:pPr>
      <w:r w:rsidRPr="00A80C31">
        <w:rPr>
          <w:rFonts w:ascii="Calibri" w:eastAsia="微軟正黑體" w:hAnsi="Calibri" w:hint="eastAsia"/>
          <w:color w:val="404040"/>
          <w:sz w:val="16"/>
        </w:rPr>
        <w:t>﹝</w:t>
      </w:r>
      <w:r w:rsidRPr="00A80C31">
        <w:rPr>
          <w:rFonts w:ascii="Calibri" w:eastAsia="微軟正黑體" w:hAnsi="Calibri" w:hint="eastAsia"/>
          <w:color w:val="404040"/>
          <w:sz w:val="16"/>
        </w:rPr>
        <w:t>1</w:t>
      </w:r>
      <w:r w:rsidRPr="00A80C31">
        <w:rPr>
          <w:rFonts w:ascii="Calibri" w:eastAsia="微軟正黑體" w:hAnsi="Calibri" w:hint="eastAsia"/>
          <w:color w:val="404040"/>
          <w:sz w:val="16"/>
        </w:rPr>
        <w:t>﹞</w:t>
      </w:r>
      <w:r w:rsidR="00011872" w:rsidRPr="00072360">
        <w:rPr>
          <w:rFonts w:ascii="微軟正黑體" w:eastAsia="微軟正黑體" w:hAnsi="微軟正黑體" w:hint="eastAsia"/>
          <w:sz w:val="20"/>
        </w:rPr>
        <w:t>本法自</w:t>
      </w:r>
      <w:r w:rsidR="001B4084" w:rsidRPr="00072360">
        <w:rPr>
          <w:rFonts w:ascii="微軟正黑體" w:eastAsia="微軟正黑體" w:hAnsi="微軟正黑體" w:hint="eastAsia"/>
          <w:sz w:val="20"/>
        </w:rPr>
        <w:t>2006</w:t>
      </w:r>
      <w:r w:rsidR="00011872" w:rsidRPr="00072360">
        <w:rPr>
          <w:rFonts w:ascii="微軟正黑體" w:eastAsia="微軟正黑體" w:hAnsi="微軟正黑體" w:hint="eastAsia"/>
          <w:sz w:val="20"/>
        </w:rPr>
        <w:t>年</w:t>
      </w:r>
      <w:r w:rsidR="001B4084" w:rsidRPr="00072360">
        <w:rPr>
          <w:rFonts w:ascii="微軟正黑體" w:eastAsia="微軟正黑體" w:hAnsi="微軟正黑體" w:hint="eastAsia"/>
          <w:sz w:val="20"/>
        </w:rPr>
        <w:t>1</w:t>
      </w:r>
      <w:r w:rsidR="00011872" w:rsidRPr="00072360">
        <w:rPr>
          <w:rFonts w:ascii="微軟正黑體" w:eastAsia="微軟正黑體" w:hAnsi="微軟正黑體" w:hint="eastAsia"/>
          <w:sz w:val="20"/>
        </w:rPr>
        <w:t>月</w:t>
      </w:r>
      <w:r w:rsidR="001B4084" w:rsidRPr="00072360">
        <w:rPr>
          <w:rFonts w:ascii="微軟正黑體" w:eastAsia="微軟正黑體" w:hAnsi="微軟正黑體" w:hint="eastAsia"/>
          <w:sz w:val="20"/>
        </w:rPr>
        <w:t>1</w:t>
      </w:r>
      <w:r w:rsidR="00011872" w:rsidRPr="00072360">
        <w:rPr>
          <w:rFonts w:ascii="微軟正黑體" w:eastAsia="微軟正黑體" w:hAnsi="微軟正黑體" w:hint="eastAsia"/>
          <w:sz w:val="20"/>
        </w:rPr>
        <w:t>日起施行。</w:t>
      </w:r>
    </w:p>
    <w:p w14:paraId="0DA3F2CE" w14:textId="77777777" w:rsidR="00C85C66" w:rsidRPr="00072360" w:rsidRDefault="00C85C66" w:rsidP="00894A92">
      <w:pPr>
        <w:ind w:left="142"/>
        <w:jc w:val="both"/>
        <w:rPr>
          <w:rFonts w:ascii="微軟正黑體" w:eastAsia="微軟正黑體" w:hAnsi="微軟正黑體"/>
          <w:sz w:val="20"/>
        </w:rPr>
      </w:pPr>
    </w:p>
    <w:p w14:paraId="65A6914A" w14:textId="77777777" w:rsidR="00C85C66" w:rsidRPr="00072360" w:rsidRDefault="00C85C66" w:rsidP="00894A92">
      <w:pPr>
        <w:ind w:left="142"/>
        <w:jc w:val="both"/>
        <w:rPr>
          <w:rFonts w:ascii="微軟正黑體" w:eastAsia="微軟正黑體" w:hAnsi="微軟正黑體"/>
          <w:sz w:val="20"/>
        </w:rPr>
      </w:pPr>
    </w:p>
    <w:p w14:paraId="4220B686" w14:textId="77777777" w:rsidR="00BE5E10" w:rsidRPr="00072360" w:rsidRDefault="00BE5E10" w:rsidP="00BE5E10">
      <w:pPr>
        <w:ind w:leftChars="50" w:left="120"/>
        <w:jc w:val="both"/>
        <w:rPr>
          <w:rFonts w:ascii="微軟正黑體" w:eastAsia="微軟正黑體" w:hAnsi="微軟正黑體"/>
          <w:color w:val="808000"/>
          <w:szCs w:val="20"/>
        </w:rPr>
      </w:pPr>
      <w:r w:rsidRPr="00072360">
        <w:rPr>
          <w:rFonts w:ascii="微軟正黑體" w:eastAsia="微軟正黑體" w:hAnsi="微軟正黑體" w:hint="eastAsia"/>
          <w:color w:val="5F5F5F"/>
          <w:sz w:val="18"/>
        </w:rPr>
        <w:t>。。。。。。。。。。。。。。。。。。。。。。。。。。。。。。。。。。。。。。。。。。。。。。。。。。</w:t>
      </w:r>
      <w:hyperlink w:anchor="top" w:history="1">
        <w:r w:rsidRPr="00072360">
          <w:rPr>
            <w:rStyle w:val="a3"/>
            <w:rFonts w:ascii="微軟正黑體" w:eastAsia="微軟正黑體" w:hAnsi="微軟正黑體" w:hint="eastAsia"/>
            <w:sz w:val="18"/>
          </w:rPr>
          <w:t>回</w:t>
        </w:r>
        <w:r w:rsidRPr="00072360">
          <w:rPr>
            <w:rStyle w:val="a3"/>
            <w:rFonts w:ascii="微軟正黑體" w:eastAsia="微軟正黑體" w:hAnsi="微軟正黑體" w:hint="eastAsia"/>
            <w:sz w:val="18"/>
          </w:rPr>
          <w:t>首</w:t>
        </w:r>
        <w:r w:rsidRPr="00072360">
          <w:rPr>
            <w:rStyle w:val="a3"/>
            <w:rFonts w:ascii="微軟正黑體" w:eastAsia="微軟正黑體" w:hAnsi="微軟正黑體" w:hint="eastAsia"/>
            <w:sz w:val="18"/>
          </w:rPr>
          <w:t>頁</w:t>
        </w:r>
      </w:hyperlink>
      <w:r w:rsidRPr="00072360">
        <w:rPr>
          <w:rStyle w:val="a3"/>
          <w:rFonts w:ascii="微軟正黑體" w:eastAsia="微軟正黑體" w:hAnsi="微軟正黑體" w:hint="eastAsia"/>
          <w:b/>
          <w:sz w:val="18"/>
          <w:u w:val="none"/>
        </w:rPr>
        <w:t>〉〉</w:t>
      </w:r>
    </w:p>
    <w:p w14:paraId="34F3E1F0" w14:textId="52464B01" w:rsidR="00DB4ABA" w:rsidRPr="00072360" w:rsidRDefault="00BE5E10" w:rsidP="00832505">
      <w:pPr>
        <w:jc w:val="both"/>
        <w:rPr>
          <w:rFonts w:ascii="微軟正黑體" w:eastAsia="微軟正黑體" w:hAnsi="微軟正黑體"/>
        </w:rPr>
      </w:pPr>
      <w:r w:rsidRPr="00072360">
        <w:rPr>
          <w:rFonts w:ascii="微軟正黑體" w:eastAsia="微軟正黑體" w:hAnsi="微軟正黑體" w:hint="eastAsia"/>
          <w:color w:val="5F5F5F"/>
          <w:sz w:val="18"/>
          <w:szCs w:val="18"/>
        </w:rPr>
        <w:t>【編註】</w:t>
      </w:r>
      <w:r w:rsidR="00832505">
        <w:rPr>
          <w:rFonts w:ascii="微軟正黑體" w:eastAsia="微軟正黑體" w:hAnsi="微軟正黑體" w:hint="eastAsia"/>
          <w:color w:val="5F5F5F"/>
          <w:sz w:val="18"/>
          <w:szCs w:val="18"/>
        </w:rPr>
        <w:t>本檔法規資料來源為官方資訊網，提供學習與參考為原則，</w:t>
      </w:r>
      <w:r w:rsidRPr="00072360">
        <w:rPr>
          <w:rFonts w:ascii="微軟正黑體" w:eastAsia="微軟正黑體" w:hAnsi="微軟正黑體" w:hint="eastAsia"/>
          <w:color w:val="5F5F5F"/>
          <w:sz w:val="18"/>
          <w:szCs w:val="18"/>
        </w:rPr>
        <w:t>如需引用請以正式檔為準。如有發現待更正部份及您所需本站未收編之法規</w:t>
      </w:r>
      <w:r w:rsidRPr="00072360">
        <w:rPr>
          <w:rFonts w:ascii="微軟正黑體" w:eastAsia="微軟正黑體" w:hAnsi="微軟正黑體" w:hint="eastAsia"/>
          <w:color w:val="5F5F5F"/>
          <w:sz w:val="18"/>
          <w:szCs w:val="20"/>
        </w:rPr>
        <w:t>，</w:t>
      </w:r>
      <w:r w:rsidRPr="00072360">
        <w:rPr>
          <w:rFonts w:ascii="微軟正黑體" w:eastAsia="微軟正黑體" w:hAnsi="微軟正黑體"/>
          <w:color w:val="5F5F5F"/>
          <w:sz w:val="18"/>
          <w:szCs w:val="20"/>
        </w:rPr>
        <w:t>敬</w:t>
      </w:r>
      <w:r w:rsidRPr="00072360">
        <w:rPr>
          <w:rFonts w:ascii="微軟正黑體" w:eastAsia="微軟正黑體" w:hAnsi="微軟正黑體" w:hint="eastAsia"/>
          <w:color w:val="5F5F5F"/>
          <w:sz w:val="18"/>
          <w:szCs w:val="20"/>
        </w:rPr>
        <w:t>請</w:t>
      </w:r>
      <w:hyperlink r:id="rId14" w:history="1">
        <w:r w:rsidRPr="00072360">
          <w:rPr>
            <w:rStyle w:val="a3"/>
            <w:rFonts w:ascii="微軟正黑體" w:eastAsia="微軟正黑體" w:hAnsi="微軟正黑體"/>
            <w:sz w:val="18"/>
            <w:szCs w:val="20"/>
          </w:rPr>
          <w:t>告知</w:t>
        </w:r>
      </w:hyperlink>
      <w:r w:rsidRPr="00072360">
        <w:rPr>
          <w:rFonts w:ascii="微軟正黑體" w:eastAsia="微軟正黑體" w:hAnsi="微軟正黑體" w:hint="eastAsia"/>
          <w:color w:val="5F5F5F"/>
          <w:sz w:val="18"/>
          <w:szCs w:val="20"/>
        </w:rPr>
        <w:t>，謝謝！</w:t>
      </w:r>
    </w:p>
    <w:sectPr w:rsidR="00DB4ABA" w:rsidRPr="00072360">
      <w:footerReference w:type="even" r:id="rId15"/>
      <w:footerReference w:type="default" r:id="rId1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7CC2B" w14:textId="77777777" w:rsidR="00A80C31" w:rsidRDefault="00A80C31">
      <w:r>
        <w:separator/>
      </w:r>
    </w:p>
  </w:endnote>
  <w:endnote w:type="continuationSeparator" w:id="0">
    <w:p w14:paraId="1B3DD096" w14:textId="77777777" w:rsidR="00A80C31" w:rsidRDefault="00A8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14FC" w14:textId="77777777"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8E4AC7C" w14:textId="77777777" w:rsidR="00CD0FA6" w:rsidRDefault="00CD0FA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93CC" w14:textId="77777777"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737CE">
      <w:rPr>
        <w:rStyle w:val="a7"/>
        <w:noProof/>
      </w:rPr>
      <w:t>1</w:t>
    </w:r>
    <w:r>
      <w:rPr>
        <w:rStyle w:val="a7"/>
      </w:rPr>
      <w:fldChar w:fldCharType="end"/>
    </w:r>
  </w:p>
  <w:p w14:paraId="02DECB62" w14:textId="77777777" w:rsidR="00CD0FA6" w:rsidRPr="009909C8" w:rsidRDefault="009F4801" w:rsidP="009C7DF2">
    <w:pPr>
      <w:pStyle w:val="a6"/>
      <w:ind w:right="360"/>
      <w:jc w:val="right"/>
      <w:rPr>
        <w:rFonts w:ascii="Arial Unicode MS" w:hAnsi="Arial Unicode MS"/>
        <w:sz w:val="18"/>
      </w:rPr>
    </w:pPr>
    <w:r>
      <w:rPr>
        <w:rFonts w:ascii="Arial Unicode MS" w:hAnsi="Arial Unicode MS" w:hint="eastAsia"/>
        <w:color w:val="000000"/>
        <w:sz w:val="18"/>
      </w:rPr>
      <w:t>〈〈</w:t>
    </w:r>
    <w:r w:rsidR="008941B3" w:rsidRPr="009909C8">
      <w:rPr>
        <w:rFonts w:ascii="Arial Unicode MS" w:hAnsi="Arial Unicode MS" w:hint="eastAsia"/>
        <w:sz w:val="18"/>
      </w:rPr>
      <w:t>中華人民共和國可再生能源法</w:t>
    </w:r>
    <w:r>
      <w:rPr>
        <w:rFonts w:ascii="Arial Unicode MS" w:hAnsi="Arial Unicode MS" w:hint="eastAsia"/>
        <w:color w:val="000000"/>
        <w:sz w:val="18"/>
      </w:rPr>
      <w:t>〉〉</w:t>
    </w:r>
    <w:r w:rsidR="009C7DF2" w:rsidRPr="009909C8">
      <w:rPr>
        <w:rFonts w:ascii="Arial Unicode MS" w:hAnsi="Arial Unicode MS"/>
        <w:sz w:val="18"/>
      </w:rPr>
      <w:t>S</w:t>
    </w:r>
    <w:r w:rsidR="009C7DF2" w:rsidRPr="009909C8">
      <w:rPr>
        <w:rFonts w:ascii="Arial Unicode MS" w:hAnsi="Arial Unicode MS" w:hint="eastAsia"/>
        <w:sz w:val="18"/>
      </w:rPr>
      <w:t xml:space="preserve">-link </w:t>
    </w:r>
    <w:r w:rsidR="009C7DF2" w:rsidRPr="009909C8">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EAFAC" w14:textId="77777777" w:rsidR="00A80C31" w:rsidRDefault="00A80C31">
      <w:r>
        <w:separator/>
      </w:r>
    </w:p>
  </w:footnote>
  <w:footnote w:type="continuationSeparator" w:id="0">
    <w:p w14:paraId="00520F5A" w14:textId="77777777" w:rsidR="00A80C31" w:rsidRDefault="00A80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11872"/>
    <w:rsid w:val="00015F9B"/>
    <w:rsid w:val="0002689F"/>
    <w:rsid w:val="000364E4"/>
    <w:rsid w:val="0005246F"/>
    <w:rsid w:val="00072360"/>
    <w:rsid w:val="000757DB"/>
    <w:rsid w:val="000A22A0"/>
    <w:rsid w:val="000B7450"/>
    <w:rsid w:val="000D57A7"/>
    <w:rsid w:val="001039CD"/>
    <w:rsid w:val="001452B5"/>
    <w:rsid w:val="00187906"/>
    <w:rsid w:val="001A0FD4"/>
    <w:rsid w:val="001A42CE"/>
    <w:rsid w:val="001B4084"/>
    <w:rsid w:val="001D3916"/>
    <w:rsid w:val="001D5B6D"/>
    <w:rsid w:val="001E1466"/>
    <w:rsid w:val="001E698B"/>
    <w:rsid w:val="001F4F28"/>
    <w:rsid w:val="00205A43"/>
    <w:rsid w:val="00216232"/>
    <w:rsid w:val="00225BD5"/>
    <w:rsid w:val="00246691"/>
    <w:rsid w:val="002532A6"/>
    <w:rsid w:val="00254720"/>
    <w:rsid w:val="002A00C9"/>
    <w:rsid w:val="002C267A"/>
    <w:rsid w:val="002C7B09"/>
    <w:rsid w:val="002F05D0"/>
    <w:rsid w:val="00303970"/>
    <w:rsid w:val="003305D4"/>
    <w:rsid w:val="00357771"/>
    <w:rsid w:val="00367403"/>
    <w:rsid w:val="003737CE"/>
    <w:rsid w:val="003A098F"/>
    <w:rsid w:val="003B175B"/>
    <w:rsid w:val="00400024"/>
    <w:rsid w:val="00422423"/>
    <w:rsid w:val="004241AC"/>
    <w:rsid w:val="00425BD2"/>
    <w:rsid w:val="00434129"/>
    <w:rsid w:val="00440C4A"/>
    <w:rsid w:val="004438D6"/>
    <w:rsid w:val="004B565F"/>
    <w:rsid w:val="00507C3E"/>
    <w:rsid w:val="00520589"/>
    <w:rsid w:val="005362B2"/>
    <w:rsid w:val="00547303"/>
    <w:rsid w:val="00564924"/>
    <w:rsid w:val="00593D8B"/>
    <w:rsid w:val="00593E98"/>
    <w:rsid w:val="00595037"/>
    <w:rsid w:val="0060393C"/>
    <w:rsid w:val="006327FE"/>
    <w:rsid w:val="00641EB7"/>
    <w:rsid w:val="00644D23"/>
    <w:rsid w:val="00657CE6"/>
    <w:rsid w:val="00662D33"/>
    <w:rsid w:val="00671D16"/>
    <w:rsid w:val="006815F6"/>
    <w:rsid w:val="00691CDF"/>
    <w:rsid w:val="006B11E3"/>
    <w:rsid w:val="006F39F6"/>
    <w:rsid w:val="006F4F17"/>
    <w:rsid w:val="00703C53"/>
    <w:rsid w:val="00722E21"/>
    <w:rsid w:val="007561CE"/>
    <w:rsid w:val="00757F67"/>
    <w:rsid w:val="007659BF"/>
    <w:rsid w:val="0077272C"/>
    <w:rsid w:val="007F3D75"/>
    <w:rsid w:val="007F61B2"/>
    <w:rsid w:val="00806F82"/>
    <w:rsid w:val="00826B78"/>
    <w:rsid w:val="00832505"/>
    <w:rsid w:val="00843611"/>
    <w:rsid w:val="00843B82"/>
    <w:rsid w:val="00861746"/>
    <w:rsid w:val="0086500E"/>
    <w:rsid w:val="008941B3"/>
    <w:rsid w:val="00894A92"/>
    <w:rsid w:val="00895874"/>
    <w:rsid w:val="008C23C2"/>
    <w:rsid w:val="008C2F57"/>
    <w:rsid w:val="008C40C5"/>
    <w:rsid w:val="008E4075"/>
    <w:rsid w:val="008F5B52"/>
    <w:rsid w:val="00902133"/>
    <w:rsid w:val="009437A3"/>
    <w:rsid w:val="0094452D"/>
    <w:rsid w:val="00984DE9"/>
    <w:rsid w:val="009909C8"/>
    <w:rsid w:val="009B3480"/>
    <w:rsid w:val="009C5241"/>
    <w:rsid w:val="009C5A8E"/>
    <w:rsid w:val="009C7DF2"/>
    <w:rsid w:val="009D0211"/>
    <w:rsid w:val="009F4801"/>
    <w:rsid w:val="009F6333"/>
    <w:rsid w:val="00A0153F"/>
    <w:rsid w:val="00A438FE"/>
    <w:rsid w:val="00A46150"/>
    <w:rsid w:val="00A54ED0"/>
    <w:rsid w:val="00A80C31"/>
    <w:rsid w:val="00A8721A"/>
    <w:rsid w:val="00AA6CD6"/>
    <w:rsid w:val="00AF2C2D"/>
    <w:rsid w:val="00B26BB2"/>
    <w:rsid w:val="00B340AD"/>
    <w:rsid w:val="00B4132A"/>
    <w:rsid w:val="00B53C8C"/>
    <w:rsid w:val="00B65988"/>
    <w:rsid w:val="00B67257"/>
    <w:rsid w:val="00B86C53"/>
    <w:rsid w:val="00BC3751"/>
    <w:rsid w:val="00BE5E10"/>
    <w:rsid w:val="00C17CC6"/>
    <w:rsid w:val="00C55973"/>
    <w:rsid w:val="00C85C66"/>
    <w:rsid w:val="00CA10AA"/>
    <w:rsid w:val="00CB06FC"/>
    <w:rsid w:val="00CD0FA6"/>
    <w:rsid w:val="00CD3C3B"/>
    <w:rsid w:val="00CF444E"/>
    <w:rsid w:val="00D10FE6"/>
    <w:rsid w:val="00D23867"/>
    <w:rsid w:val="00D46AE7"/>
    <w:rsid w:val="00D477AA"/>
    <w:rsid w:val="00D51F19"/>
    <w:rsid w:val="00D70BFB"/>
    <w:rsid w:val="00D759C3"/>
    <w:rsid w:val="00D81A0E"/>
    <w:rsid w:val="00D85F3C"/>
    <w:rsid w:val="00D93244"/>
    <w:rsid w:val="00DB4ABA"/>
    <w:rsid w:val="00DF4ADE"/>
    <w:rsid w:val="00E06B6F"/>
    <w:rsid w:val="00E270AE"/>
    <w:rsid w:val="00E44822"/>
    <w:rsid w:val="00E52397"/>
    <w:rsid w:val="00E67B0E"/>
    <w:rsid w:val="00E70715"/>
    <w:rsid w:val="00E730E0"/>
    <w:rsid w:val="00E95805"/>
    <w:rsid w:val="00EA5287"/>
    <w:rsid w:val="00EA7D2E"/>
    <w:rsid w:val="00EB2515"/>
    <w:rsid w:val="00EC1757"/>
    <w:rsid w:val="00EC27F7"/>
    <w:rsid w:val="00ED0B42"/>
    <w:rsid w:val="00EE53DC"/>
    <w:rsid w:val="00F11C83"/>
    <w:rsid w:val="00F229F5"/>
    <w:rsid w:val="00F2371C"/>
    <w:rsid w:val="00F26DC0"/>
    <w:rsid w:val="00F3074E"/>
    <w:rsid w:val="00F475CC"/>
    <w:rsid w:val="00F52291"/>
    <w:rsid w:val="00F922D9"/>
    <w:rsid w:val="00FA6BE2"/>
    <w:rsid w:val="00FB1918"/>
    <w:rsid w:val="00FE1B5B"/>
    <w:rsid w:val="00FF5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BCC1D"/>
  <w15:docId w15:val="{37733C43-741B-48FC-AA0A-69E5A0FC9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9909C8"/>
    <w:pPr>
      <w:keepNext/>
      <w:adjustRightInd w:val="0"/>
      <w:snapToGrid w:val="0"/>
      <w:spacing w:before="100" w:beforeAutospacing="1" w:after="100" w:afterAutospacing="1"/>
      <w:outlineLvl w:val="0"/>
    </w:pPr>
    <w:rPr>
      <w:rFonts w:ascii="Arial Unicode MS" w:hAnsi="Arial Unicode MS" w:cs="Arial Unicode MS"/>
      <w:b/>
      <w:bCs/>
      <w:color w:val="333399"/>
      <w:sz w:val="20"/>
      <w:szCs w:val="52"/>
    </w:rPr>
  </w:style>
  <w:style w:type="paragraph" w:styleId="2">
    <w:name w:val="heading 2"/>
    <w:basedOn w:val="a"/>
    <w:next w:val="a"/>
    <w:link w:val="20"/>
    <w:unhideWhenUsed/>
    <w:qFormat/>
    <w:rsid w:val="009909C8"/>
    <w:pPr>
      <w:keepNext/>
      <w:adjustRightInd w:val="0"/>
      <w:snapToGrid w:val="0"/>
      <w:spacing w:before="100" w:beforeAutospacing="1" w:after="100" w:afterAutospacing="1"/>
      <w:outlineLvl w:val="1"/>
    </w:pPr>
    <w:rPr>
      <w:rFonts w:ascii="Arial Unicode MS" w:hAnsi="Arial Unicode MS" w:cs="Arial Unicode MS"/>
      <w:b/>
      <w:bCs/>
      <w:color w:val="990000"/>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a8">
    <w:name w:val="Document Map"/>
    <w:basedOn w:val="a"/>
    <w:link w:val="a9"/>
    <w:rsid w:val="00E06B6F"/>
    <w:rPr>
      <w:rFonts w:ascii="新細明體" w:hAnsi="新細明體"/>
      <w:sz w:val="20"/>
      <w:szCs w:val="18"/>
    </w:rPr>
  </w:style>
  <w:style w:type="character" w:customStyle="1" w:styleId="a9">
    <w:name w:val="文件引導模式 字元"/>
    <w:link w:val="a8"/>
    <w:rsid w:val="00E06B6F"/>
    <w:rPr>
      <w:rFonts w:ascii="新細明體" w:hAnsi="新細明體"/>
      <w:kern w:val="2"/>
      <w:szCs w:val="18"/>
    </w:rPr>
  </w:style>
  <w:style w:type="character" w:customStyle="1" w:styleId="20">
    <w:name w:val="標題 2 字元"/>
    <w:link w:val="2"/>
    <w:rsid w:val="009909C8"/>
    <w:rPr>
      <w:rFonts w:ascii="Arial Unicode MS" w:hAnsi="Arial Unicode MS" w:cs="Arial Unicode MS"/>
      <w:b/>
      <w:bCs/>
      <w:color w:val="990000"/>
      <w:kern w:val="2"/>
      <w:szCs w:val="48"/>
    </w:rPr>
  </w:style>
  <w:style w:type="character" w:styleId="aa">
    <w:name w:val="Unresolved Mention"/>
    <w:uiPriority w:val="99"/>
    <w:semiHidden/>
    <w:unhideWhenUsed/>
    <w:rsid w:val="009F4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gb/&#20013;&#33775;&#20154;&#27665;&#20849;&#21644;&#22283;&#21487;&#20877;&#29983;&#33021;&#28304;&#27861;.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6laws.net/" TargetMode="External"/><Relationship Id="rId12" Type="http://schemas.openxmlformats.org/officeDocument/2006/relationships/hyperlink" Target="../S-link&#22823;&#38520;&#27861;&#35215;&#32034;&#24341;.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anita6law"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1028</Words>
  <Characters>5860</Characters>
  <Application>Microsoft Office Word</Application>
  <DocSecurity>0</DocSecurity>
  <Lines>48</Lines>
  <Paragraphs>13</Paragraphs>
  <ScaleCrop>false</ScaleCrop>
  <Company/>
  <LinksUpToDate>false</LinksUpToDate>
  <CharactersWithSpaces>6875</CharactersWithSpaces>
  <SharedDoc>false</SharedDoc>
  <HLinks>
    <vt:vector size="210" baseType="variant">
      <vt:variant>
        <vt:i4>2949124</vt:i4>
      </vt:variant>
      <vt:variant>
        <vt:i4>102</vt:i4>
      </vt:variant>
      <vt:variant>
        <vt:i4>0</vt:i4>
      </vt:variant>
      <vt:variant>
        <vt:i4>5</vt:i4>
      </vt:variant>
      <vt:variant>
        <vt:lpwstr>mailto:anita399646@hotmail.com</vt:lpwstr>
      </vt:variant>
      <vt:variant>
        <vt:lpwstr/>
      </vt:variant>
      <vt:variant>
        <vt:i4>7274612</vt:i4>
      </vt:variant>
      <vt:variant>
        <vt:i4>99</vt:i4>
      </vt:variant>
      <vt:variant>
        <vt:i4>0</vt:i4>
      </vt:variant>
      <vt:variant>
        <vt:i4>5</vt:i4>
      </vt:variant>
      <vt:variant>
        <vt:lpwstr/>
      </vt:variant>
      <vt:variant>
        <vt:lpwstr>top</vt:lpwstr>
      </vt:variant>
      <vt:variant>
        <vt:i4>6357089</vt:i4>
      </vt:variant>
      <vt:variant>
        <vt:i4>96</vt:i4>
      </vt:variant>
      <vt:variant>
        <vt:i4>0</vt:i4>
      </vt:variant>
      <vt:variant>
        <vt:i4>5</vt:i4>
      </vt:variant>
      <vt:variant>
        <vt:lpwstr/>
      </vt:variant>
      <vt:variant>
        <vt:lpwstr>aaa</vt:lpwstr>
      </vt:variant>
      <vt:variant>
        <vt:i4>3211361</vt:i4>
      </vt:variant>
      <vt:variant>
        <vt:i4>93</vt:i4>
      </vt:variant>
      <vt:variant>
        <vt:i4>0</vt:i4>
      </vt:variant>
      <vt:variant>
        <vt:i4>5</vt:i4>
      </vt:variant>
      <vt:variant>
        <vt:lpwstr/>
      </vt:variant>
      <vt:variant>
        <vt:lpwstr>a16</vt:lpwstr>
      </vt:variant>
      <vt:variant>
        <vt:i4>3211361</vt:i4>
      </vt:variant>
      <vt:variant>
        <vt:i4>90</vt:i4>
      </vt:variant>
      <vt:variant>
        <vt:i4>0</vt:i4>
      </vt:variant>
      <vt:variant>
        <vt:i4>5</vt:i4>
      </vt:variant>
      <vt:variant>
        <vt:lpwstr/>
      </vt:variant>
      <vt:variant>
        <vt:lpwstr>a16</vt:lpwstr>
      </vt:variant>
      <vt:variant>
        <vt:i4>3211361</vt:i4>
      </vt:variant>
      <vt:variant>
        <vt:i4>87</vt:i4>
      </vt:variant>
      <vt:variant>
        <vt:i4>0</vt:i4>
      </vt:variant>
      <vt:variant>
        <vt:i4>5</vt:i4>
      </vt:variant>
      <vt:variant>
        <vt:lpwstr/>
      </vt:variant>
      <vt:variant>
        <vt:lpwstr>a14</vt:lpwstr>
      </vt:variant>
      <vt:variant>
        <vt:i4>6357089</vt:i4>
      </vt:variant>
      <vt:variant>
        <vt:i4>84</vt:i4>
      </vt:variant>
      <vt:variant>
        <vt:i4>0</vt:i4>
      </vt:variant>
      <vt:variant>
        <vt:i4>5</vt:i4>
      </vt:variant>
      <vt:variant>
        <vt:lpwstr/>
      </vt:variant>
      <vt:variant>
        <vt:lpwstr>aaa</vt:lpwstr>
      </vt:variant>
      <vt:variant>
        <vt:i4>3276897</vt:i4>
      </vt:variant>
      <vt:variant>
        <vt:i4>81</vt:i4>
      </vt:variant>
      <vt:variant>
        <vt:i4>0</vt:i4>
      </vt:variant>
      <vt:variant>
        <vt:i4>5</vt:i4>
      </vt:variant>
      <vt:variant>
        <vt:lpwstr/>
      </vt:variant>
      <vt:variant>
        <vt:lpwstr>a21</vt:lpwstr>
      </vt:variant>
      <vt:variant>
        <vt:i4>3276897</vt:i4>
      </vt:variant>
      <vt:variant>
        <vt:i4>78</vt:i4>
      </vt:variant>
      <vt:variant>
        <vt:i4>0</vt:i4>
      </vt:variant>
      <vt:variant>
        <vt:i4>5</vt:i4>
      </vt:variant>
      <vt:variant>
        <vt:lpwstr/>
      </vt:variant>
      <vt:variant>
        <vt:lpwstr>a22</vt:lpwstr>
      </vt:variant>
      <vt:variant>
        <vt:i4>3276897</vt:i4>
      </vt:variant>
      <vt:variant>
        <vt:i4>75</vt:i4>
      </vt:variant>
      <vt:variant>
        <vt:i4>0</vt:i4>
      </vt:variant>
      <vt:variant>
        <vt:i4>5</vt:i4>
      </vt:variant>
      <vt:variant>
        <vt:lpwstr/>
      </vt:variant>
      <vt:variant>
        <vt:lpwstr>a20</vt:lpwstr>
      </vt:variant>
      <vt:variant>
        <vt:i4>6357089</vt:i4>
      </vt:variant>
      <vt:variant>
        <vt:i4>72</vt:i4>
      </vt:variant>
      <vt:variant>
        <vt:i4>0</vt:i4>
      </vt:variant>
      <vt:variant>
        <vt:i4>5</vt:i4>
      </vt:variant>
      <vt:variant>
        <vt:lpwstr/>
      </vt:variant>
      <vt:variant>
        <vt:lpwstr>aaa</vt:lpwstr>
      </vt:variant>
      <vt:variant>
        <vt:i4>3276897</vt:i4>
      </vt:variant>
      <vt:variant>
        <vt:i4>69</vt:i4>
      </vt:variant>
      <vt:variant>
        <vt:i4>0</vt:i4>
      </vt:variant>
      <vt:variant>
        <vt:i4>5</vt:i4>
      </vt:variant>
      <vt:variant>
        <vt:lpwstr/>
      </vt:variant>
      <vt:variant>
        <vt:lpwstr>a20</vt:lpwstr>
      </vt:variant>
      <vt:variant>
        <vt:i4>3211361</vt:i4>
      </vt:variant>
      <vt:variant>
        <vt:i4>66</vt:i4>
      </vt:variant>
      <vt:variant>
        <vt:i4>0</vt:i4>
      </vt:variant>
      <vt:variant>
        <vt:i4>5</vt:i4>
      </vt:variant>
      <vt:variant>
        <vt:lpwstr/>
      </vt:variant>
      <vt:variant>
        <vt:lpwstr>a19</vt:lpwstr>
      </vt:variant>
      <vt:variant>
        <vt:i4>3211361</vt:i4>
      </vt:variant>
      <vt:variant>
        <vt:i4>63</vt:i4>
      </vt:variant>
      <vt:variant>
        <vt:i4>0</vt:i4>
      </vt:variant>
      <vt:variant>
        <vt:i4>5</vt:i4>
      </vt:variant>
      <vt:variant>
        <vt:lpwstr/>
      </vt:variant>
      <vt:variant>
        <vt:lpwstr>a13</vt:lpwstr>
      </vt:variant>
      <vt:variant>
        <vt:i4>6357089</vt:i4>
      </vt:variant>
      <vt:variant>
        <vt:i4>60</vt:i4>
      </vt:variant>
      <vt:variant>
        <vt:i4>0</vt:i4>
      </vt:variant>
      <vt:variant>
        <vt:i4>5</vt:i4>
      </vt:variant>
      <vt:variant>
        <vt:lpwstr/>
      </vt:variant>
      <vt:variant>
        <vt:lpwstr>aaa</vt:lpwstr>
      </vt:variant>
      <vt:variant>
        <vt:i4>3342433</vt:i4>
      </vt:variant>
      <vt:variant>
        <vt:i4>57</vt:i4>
      </vt:variant>
      <vt:variant>
        <vt:i4>0</vt:i4>
      </vt:variant>
      <vt:variant>
        <vt:i4>5</vt:i4>
      </vt:variant>
      <vt:variant>
        <vt:lpwstr/>
      </vt:variant>
      <vt:variant>
        <vt:lpwstr>a31</vt:lpwstr>
      </vt:variant>
      <vt:variant>
        <vt:i4>3342433</vt:i4>
      </vt:variant>
      <vt:variant>
        <vt:i4>54</vt:i4>
      </vt:variant>
      <vt:variant>
        <vt:i4>0</vt:i4>
      </vt:variant>
      <vt:variant>
        <vt:i4>5</vt:i4>
      </vt:variant>
      <vt:variant>
        <vt:lpwstr/>
      </vt:variant>
      <vt:variant>
        <vt:lpwstr>a30</vt:lpwstr>
      </vt:variant>
      <vt:variant>
        <vt:i4>3276897</vt:i4>
      </vt:variant>
      <vt:variant>
        <vt:i4>51</vt:i4>
      </vt:variant>
      <vt:variant>
        <vt:i4>0</vt:i4>
      </vt:variant>
      <vt:variant>
        <vt:i4>5</vt:i4>
      </vt:variant>
      <vt:variant>
        <vt:lpwstr/>
      </vt:variant>
      <vt:variant>
        <vt:lpwstr>a29</vt:lpwstr>
      </vt:variant>
      <vt:variant>
        <vt:i4>6357089</vt:i4>
      </vt:variant>
      <vt:variant>
        <vt:i4>48</vt:i4>
      </vt:variant>
      <vt:variant>
        <vt:i4>0</vt:i4>
      </vt:variant>
      <vt:variant>
        <vt:i4>5</vt:i4>
      </vt:variant>
      <vt:variant>
        <vt:lpwstr/>
      </vt:variant>
      <vt:variant>
        <vt:lpwstr>aaa</vt:lpwstr>
      </vt:variant>
      <vt:variant>
        <vt:i4>6357089</vt:i4>
      </vt:variant>
      <vt:variant>
        <vt:i4>45</vt:i4>
      </vt:variant>
      <vt:variant>
        <vt:i4>0</vt:i4>
      </vt:variant>
      <vt:variant>
        <vt:i4>5</vt:i4>
      </vt:variant>
      <vt:variant>
        <vt:lpwstr/>
      </vt:variant>
      <vt:variant>
        <vt:lpwstr>aaa</vt:lpwstr>
      </vt:variant>
      <vt:variant>
        <vt:i4>6357089</vt:i4>
      </vt:variant>
      <vt:variant>
        <vt:i4>42</vt:i4>
      </vt:variant>
      <vt:variant>
        <vt:i4>0</vt:i4>
      </vt:variant>
      <vt:variant>
        <vt:i4>5</vt:i4>
      </vt:variant>
      <vt:variant>
        <vt:lpwstr/>
      </vt:variant>
      <vt:variant>
        <vt:lpwstr>aaa</vt:lpwstr>
      </vt:variant>
      <vt:variant>
        <vt:i4>1406453551</vt:i4>
      </vt:variant>
      <vt:variant>
        <vt:i4>39</vt:i4>
      </vt:variant>
      <vt:variant>
        <vt:i4>0</vt:i4>
      </vt:variant>
      <vt:variant>
        <vt:i4>5</vt:i4>
      </vt:variant>
      <vt:variant>
        <vt:lpwstr/>
      </vt:variant>
      <vt:variant>
        <vt:lpwstr>_第八章__附則</vt:lpwstr>
      </vt:variant>
      <vt:variant>
        <vt:i4>283356794</vt:i4>
      </vt:variant>
      <vt:variant>
        <vt:i4>36</vt:i4>
      </vt:variant>
      <vt:variant>
        <vt:i4>0</vt:i4>
      </vt:variant>
      <vt:variant>
        <vt:i4>5</vt:i4>
      </vt:variant>
      <vt:variant>
        <vt:lpwstr/>
      </vt:variant>
      <vt:variant>
        <vt:lpwstr>_第七章__法律責任</vt:lpwstr>
      </vt:variant>
      <vt:variant>
        <vt:i4>703641178</vt:i4>
      </vt:variant>
      <vt:variant>
        <vt:i4>33</vt:i4>
      </vt:variant>
      <vt:variant>
        <vt:i4>0</vt:i4>
      </vt:variant>
      <vt:variant>
        <vt:i4>5</vt:i4>
      </vt:variant>
      <vt:variant>
        <vt:lpwstr/>
      </vt:variant>
      <vt:variant>
        <vt:lpwstr>_第六章__經濟激勵與監督措施</vt:lpwstr>
      </vt:variant>
      <vt:variant>
        <vt:i4>432968419</vt:i4>
      </vt:variant>
      <vt:variant>
        <vt:i4>30</vt:i4>
      </vt:variant>
      <vt:variant>
        <vt:i4>0</vt:i4>
      </vt:variant>
      <vt:variant>
        <vt:i4>5</vt:i4>
      </vt:variant>
      <vt:variant>
        <vt:lpwstr/>
      </vt:variant>
      <vt:variant>
        <vt:lpwstr>_第五章__價格管理與費用補償</vt:lpwstr>
      </vt:variant>
      <vt:variant>
        <vt:i4>1052358516</vt:i4>
      </vt:variant>
      <vt:variant>
        <vt:i4>27</vt:i4>
      </vt:variant>
      <vt:variant>
        <vt:i4>0</vt:i4>
      </vt:variant>
      <vt:variant>
        <vt:i4>5</vt:i4>
      </vt:variant>
      <vt:variant>
        <vt:lpwstr/>
      </vt:variant>
      <vt:variant>
        <vt:lpwstr>_第四章__推廣與應用</vt:lpwstr>
      </vt:variant>
      <vt:variant>
        <vt:i4>861885048</vt:i4>
      </vt:variant>
      <vt:variant>
        <vt:i4>24</vt:i4>
      </vt:variant>
      <vt:variant>
        <vt:i4>0</vt:i4>
      </vt:variant>
      <vt:variant>
        <vt:i4>5</vt:i4>
      </vt:variant>
      <vt:variant>
        <vt:lpwstr/>
      </vt:variant>
      <vt:variant>
        <vt:lpwstr>_第三章__產業指導與技術支持</vt:lpwstr>
      </vt:variant>
      <vt:variant>
        <vt:i4>-149580122</vt:i4>
      </vt:variant>
      <vt:variant>
        <vt:i4>21</vt:i4>
      </vt:variant>
      <vt:variant>
        <vt:i4>0</vt:i4>
      </vt:variant>
      <vt:variant>
        <vt:i4>5</vt:i4>
      </vt:variant>
      <vt:variant>
        <vt:lpwstr/>
      </vt:variant>
      <vt:variant>
        <vt:lpwstr>_第二章__資源調查與發展規劃</vt:lpwstr>
      </vt:variant>
      <vt:variant>
        <vt:i4>1406414909</vt:i4>
      </vt:variant>
      <vt:variant>
        <vt:i4>18</vt:i4>
      </vt:variant>
      <vt:variant>
        <vt:i4>0</vt:i4>
      </vt:variant>
      <vt:variant>
        <vt:i4>5</vt:i4>
      </vt:variant>
      <vt:variant>
        <vt:lpwstr/>
      </vt:variant>
      <vt:variant>
        <vt:lpwstr>_第一章__總則</vt:lpwstr>
      </vt:variant>
      <vt:variant>
        <vt:i4>-1149963505</vt:i4>
      </vt:variant>
      <vt:variant>
        <vt:i4>15</vt:i4>
      </vt:variant>
      <vt:variant>
        <vt:i4>0</vt:i4>
      </vt:variant>
      <vt:variant>
        <vt:i4>5</vt:i4>
      </vt:variant>
      <vt:variant>
        <vt:lpwstr>http://www.6law.idv.tw/6law/law-gb/中華人民共和國可再生能源法.htm</vt:lpwstr>
      </vt:variant>
      <vt:variant>
        <vt:lpwstr/>
      </vt:variant>
      <vt:variant>
        <vt:i4>-1143171275</vt:i4>
      </vt:variant>
      <vt:variant>
        <vt:i4>12</vt:i4>
      </vt:variant>
      <vt:variant>
        <vt:i4>0</vt:i4>
      </vt:variant>
      <vt:variant>
        <vt:i4>5</vt:i4>
      </vt:variant>
      <vt:variant>
        <vt:lpwstr>../S-link大陸法規索引.doc</vt:lpwstr>
      </vt:variant>
      <vt:variant>
        <vt:lpwstr>中華人民共和國可再生能源法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中華人民共和國可再生能源法</dc:title>
  <dc:subject/>
  <dc:creator>S-link 電子六法-黃婉玲</dc:creator>
  <cp:keywords/>
  <cp:lastModifiedBy>黃婉玲 S-link電子六法</cp:lastModifiedBy>
  <cp:revision>16</cp:revision>
  <dcterms:created xsi:type="dcterms:W3CDTF">2014-11-28T01:03:00Z</dcterms:created>
  <dcterms:modified xsi:type="dcterms:W3CDTF">2022-04-02T04:41:00Z</dcterms:modified>
</cp:coreProperties>
</file>