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750F4" w14:textId="77777777" w:rsidR="00673A1A" w:rsidRPr="00673A1A" w:rsidRDefault="00673A1A" w:rsidP="00673A1A">
      <w:pPr>
        <w:adjustRightInd w:val="0"/>
        <w:snapToGrid w:val="0"/>
        <w:ind w:rightChars="8" w:right="16"/>
        <w:jc w:val="right"/>
        <w:rPr>
          <w:rFonts w:ascii="微軟正黑體" w:eastAsia="微軟正黑體" w:hAnsi="微軟正黑體"/>
        </w:rPr>
      </w:pPr>
      <w:hyperlink r:id="rId7" w:history="1">
        <w:r w:rsidRPr="00673A1A">
          <w:rPr>
            <w:rFonts w:ascii="微軟正黑體" w:eastAsia="微軟正黑體" w:hAnsi="微軟正黑體"/>
            <w:noProof/>
            <w:color w:val="5F5F5F"/>
            <w:sz w:val="18"/>
            <w:szCs w:val="20"/>
            <w:lang w:val="zh-TW"/>
          </w:rPr>
          <w:pict w14:anchorId="0A945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href="https://www.6laws.net/" style="width:32.6pt;height:32.6pt;visibility:visible;mso-wrap-style:square" o:button="t">
              <v:fill o:detectmouseclick="t"/>
              <v:imagedata r:id="rId8" o:title=""/>
            </v:shape>
          </w:pict>
        </w:r>
      </w:hyperlink>
    </w:p>
    <w:p w14:paraId="77499E71" w14:textId="04F33E0F" w:rsidR="00673A1A" w:rsidRPr="00673A1A" w:rsidRDefault="00673A1A" w:rsidP="00673A1A">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673A1A">
        <w:rPr>
          <w:rFonts w:ascii="微軟正黑體" w:eastAsia="微軟正黑體" w:hAnsi="微軟正黑體" w:hint="eastAsia"/>
          <w:color w:val="5F5F5F"/>
          <w:sz w:val="18"/>
          <w:szCs w:val="20"/>
          <w:lang w:val="zh-TW"/>
        </w:rPr>
        <w:t>【</w:t>
      </w:r>
      <w:hyperlink r:id="rId9" w:tgtFrame="_blank" w:history="1">
        <w:r w:rsidRPr="00673A1A">
          <w:rPr>
            <w:rStyle w:val="a3"/>
            <w:rFonts w:ascii="微軟正黑體" w:eastAsia="微軟正黑體" w:hAnsi="微軟正黑體"/>
            <w:sz w:val="18"/>
            <w:szCs w:val="20"/>
          </w:rPr>
          <w:t>更新</w:t>
        </w:r>
      </w:hyperlink>
      <w:r w:rsidRPr="00673A1A">
        <w:rPr>
          <w:rFonts w:ascii="微軟正黑體" w:eastAsia="微軟正黑體" w:hAnsi="微軟正黑體" w:hint="eastAsia"/>
          <w:color w:val="7F7F7F"/>
          <w:sz w:val="18"/>
          <w:szCs w:val="20"/>
          <w:lang w:val="zh-TW"/>
        </w:rPr>
        <w:t>】</w:t>
      </w:r>
      <w:bookmarkStart w:id="1" w:name="_Hlk98861106"/>
      <w:r w:rsidR="000971E2" w:rsidRPr="005F2503">
        <w:rPr>
          <w:rFonts w:ascii="Segoe UI Emoji" w:eastAsia="微軟正黑體" w:hAnsi="Segoe UI Emoji" w:cs="Segoe UI Emoji"/>
          <w:kern w:val="0"/>
          <w:sz w:val="18"/>
        </w:rPr>
        <w:t>⏰</w:t>
      </w:r>
      <w:bookmarkEnd w:id="1"/>
      <w:r w:rsidR="000971E2" w:rsidRPr="000971E2">
        <w:rPr>
          <w:sz w:val="18"/>
        </w:rPr>
        <w:t>2022/3/24</w:t>
      </w:r>
      <w:r w:rsidRPr="00673A1A">
        <w:rPr>
          <w:rFonts w:ascii="微軟正黑體" w:eastAsia="微軟正黑體" w:hAnsi="微軟正黑體" w:hint="eastAsia"/>
          <w:color w:val="7F7F7F"/>
          <w:sz w:val="18"/>
          <w:szCs w:val="20"/>
          <w:lang w:val="zh-TW"/>
        </w:rPr>
        <w:t>【</w:t>
      </w:r>
      <w:hyperlink r:id="rId10" w:history="1">
        <w:r w:rsidRPr="00673A1A">
          <w:rPr>
            <w:rStyle w:val="a3"/>
            <w:rFonts w:ascii="微軟正黑體" w:eastAsia="微軟正黑體" w:hAnsi="微軟正黑體" w:hint="eastAsia"/>
            <w:color w:val="5F5F5F"/>
            <w:sz w:val="18"/>
            <w:szCs w:val="20"/>
            <w:u w:val="none"/>
          </w:rPr>
          <w:t>編輯著作權者</w:t>
        </w:r>
      </w:hyperlink>
      <w:r w:rsidRPr="00673A1A">
        <w:rPr>
          <w:rFonts w:ascii="微軟正黑體" w:eastAsia="微軟正黑體" w:hAnsi="微軟正黑體" w:hint="eastAsia"/>
          <w:color w:val="7F7F7F"/>
          <w:sz w:val="18"/>
          <w:szCs w:val="20"/>
          <w:lang w:val="zh-TW"/>
        </w:rPr>
        <w:t>】</w:t>
      </w:r>
      <w:hyperlink r:id="rId11" w:tgtFrame="_blank" w:history="1">
        <w:r w:rsidRPr="00673A1A">
          <w:rPr>
            <w:rStyle w:val="a3"/>
            <w:rFonts w:ascii="微軟正黑體" w:eastAsia="微軟正黑體" w:hAnsi="微軟正黑體"/>
            <w:color w:val="7F7F7F"/>
            <w:sz w:val="18"/>
            <w:szCs w:val="20"/>
          </w:rPr>
          <w:t>黃婉玲</w:t>
        </w:r>
      </w:hyperlink>
    </w:p>
    <w:p w14:paraId="5E50545A" w14:textId="2486A6F5" w:rsidR="00673A1A" w:rsidRPr="00673A1A" w:rsidRDefault="00673A1A" w:rsidP="00673A1A">
      <w:pPr>
        <w:ind w:rightChars="-66" w:right="-132" w:firstLineChars="2880" w:firstLine="5184"/>
        <w:jc w:val="right"/>
        <w:rPr>
          <w:rFonts w:ascii="微軟正黑體" w:eastAsia="微軟正黑體" w:hAnsi="微軟正黑體"/>
          <w:color w:val="808000"/>
          <w:sz w:val="18"/>
        </w:rPr>
      </w:pPr>
      <w:bookmarkStart w:id="2" w:name="_Hlk73037927"/>
      <w:bookmarkStart w:id="3" w:name="_Hlk73024852"/>
      <w:r w:rsidRPr="00673A1A">
        <w:rPr>
          <w:rFonts w:ascii="微軟正黑體" w:eastAsia="微軟正黑體" w:hAnsi="微軟正黑體" w:hint="eastAsia"/>
          <w:color w:val="5F5F5F"/>
          <w:sz w:val="18"/>
          <w:szCs w:val="20"/>
        </w:rPr>
        <w:t>（建議使用工具列--〉檢視--〉文件引導模式</w:t>
      </w:r>
      <w:bookmarkStart w:id="4" w:name="_Hlk98860402"/>
      <w:r w:rsidRPr="00673A1A">
        <w:rPr>
          <w:rFonts w:ascii="微軟正黑體" w:eastAsia="微軟正黑體" w:hAnsi="微軟正黑體" w:hint="eastAsia"/>
          <w:color w:val="5F5F5F"/>
          <w:sz w:val="18"/>
          <w:szCs w:val="20"/>
        </w:rPr>
        <w:t>/</w:t>
      </w:r>
      <w:hyperlink r:id="rId12" w:history="1">
        <w:r w:rsidRPr="000971E2">
          <w:rPr>
            <w:rStyle w:val="a3"/>
            <w:rFonts w:ascii="微軟正黑體" w:eastAsia="微軟正黑體" w:hAnsi="微軟正黑體" w:hint="eastAsia"/>
            <w:color w:val="5F5F5F"/>
            <w:sz w:val="18"/>
            <w:szCs w:val="20"/>
            <w:u w:val="none"/>
          </w:rPr>
          <w:t>功</w:t>
        </w:r>
        <w:r w:rsidRPr="000971E2">
          <w:rPr>
            <w:rStyle w:val="a3"/>
            <w:rFonts w:ascii="微軟正黑體" w:eastAsia="微軟正黑體" w:hAnsi="微軟正黑體" w:hint="eastAsia"/>
            <w:color w:val="5F5F5F"/>
            <w:sz w:val="18"/>
            <w:szCs w:val="20"/>
            <w:u w:val="none"/>
          </w:rPr>
          <w:t>能</w:t>
        </w:r>
        <w:r w:rsidRPr="000971E2">
          <w:rPr>
            <w:rStyle w:val="a3"/>
            <w:rFonts w:ascii="微軟正黑體" w:eastAsia="微軟正黑體" w:hAnsi="微軟正黑體" w:hint="eastAsia"/>
            <w:color w:val="5F5F5F"/>
            <w:sz w:val="18"/>
            <w:szCs w:val="20"/>
            <w:u w:val="none"/>
          </w:rPr>
          <w:t>窗</w:t>
        </w:r>
        <w:r w:rsidRPr="000971E2">
          <w:rPr>
            <w:rStyle w:val="a3"/>
            <w:rFonts w:ascii="微軟正黑體" w:eastAsia="微軟正黑體" w:hAnsi="微軟正黑體" w:hint="eastAsia"/>
            <w:color w:val="5F5F5F"/>
            <w:sz w:val="18"/>
            <w:szCs w:val="20"/>
            <w:u w:val="none"/>
          </w:rPr>
          <w:t>格</w:t>
        </w:r>
      </w:hyperlink>
      <w:bookmarkEnd w:id="4"/>
      <w:r w:rsidRPr="00673A1A">
        <w:rPr>
          <w:rFonts w:ascii="微軟正黑體" w:eastAsia="微軟正黑體" w:hAnsi="微軟正黑體" w:hint="eastAsia"/>
          <w:color w:val="5F5F5F"/>
          <w:sz w:val="18"/>
          <w:szCs w:val="20"/>
        </w:rPr>
        <w:t>）</w:t>
      </w:r>
      <w:bookmarkEnd w:id="2"/>
      <w:bookmarkEnd w:id="3"/>
    </w:p>
    <w:p w14:paraId="4AC0F1E9" w14:textId="6D4BB391" w:rsidR="00673A1A" w:rsidRPr="00673A1A" w:rsidRDefault="00673A1A" w:rsidP="00673A1A">
      <w:pPr>
        <w:ind w:rightChars="-66" w:right="-132" w:firstLineChars="2880" w:firstLine="5184"/>
        <w:jc w:val="right"/>
        <w:rPr>
          <w:rFonts w:ascii="微軟正黑體" w:eastAsia="微軟正黑體" w:hAnsi="微軟正黑體"/>
          <w:b/>
          <w:color w:val="5F5F5F"/>
          <w:sz w:val="18"/>
        </w:rPr>
      </w:pPr>
      <w:r w:rsidRPr="00673A1A">
        <w:rPr>
          <w:rFonts w:ascii="微軟正黑體" w:eastAsia="微軟正黑體" w:hAnsi="微軟正黑體" w:hint="eastAsia"/>
          <w:color w:val="FFFFFF"/>
          <w:sz w:val="18"/>
        </w:rPr>
        <w:t>‧</w:t>
      </w:r>
      <w:hyperlink r:id="rId13" w:history="1">
        <w:r w:rsidRPr="00673A1A">
          <w:rPr>
            <w:rStyle w:val="a3"/>
            <w:rFonts w:ascii="微軟正黑體" w:eastAsia="微軟正黑體" w:hAnsi="微軟正黑體" w:hint="eastAsia"/>
            <w:sz w:val="18"/>
          </w:rPr>
          <w:t>S-link總索引</w:t>
        </w:r>
      </w:hyperlink>
      <w:r w:rsidRPr="00673A1A">
        <w:rPr>
          <w:rFonts w:ascii="微軟正黑體" w:eastAsia="微軟正黑體" w:hAnsi="微軟正黑體" w:hint="eastAsia"/>
          <w:b/>
          <w:color w:val="808000"/>
          <w:sz w:val="18"/>
        </w:rPr>
        <w:t>〉〉</w:t>
      </w:r>
      <w:hyperlink r:id="rId14" w:anchor="中華人民共和國外匯管理條例" w:history="1">
        <w:r w:rsidR="000971E2">
          <w:rPr>
            <w:rStyle w:val="a3"/>
            <w:rFonts w:ascii="微軟正黑體" w:eastAsia="微軟正黑體" w:hAnsi="微軟正黑體" w:hint="eastAsia"/>
            <w:sz w:val="18"/>
          </w:rPr>
          <w:t>S-link中國法律法規索引</w:t>
        </w:r>
      </w:hyperlink>
      <w:r w:rsidRPr="00673A1A">
        <w:rPr>
          <w:rFonts w:ascii="微軟正黑體" w:eastAsia="微軟正黑體" w:hAnsi="微軟正黑體" w:hint="eastAsia"/>
          <w:b/>
          <w:color w:val="5F5F5F"/>
          <w:sz w:val="18"/>
        </w:rPr>
        <w:t>〉〉</w:t>
      </w:r>
      <w:hyperlink r:id="rId15" w:tgtFrame="_blank" w:history="1">
        <w:r w:rsidRPr="00673A1A">
          <w:rPr>
            <w:rStyle w:val="a3"/>
            <w:rFonts w:ascii="微軟正黑體" w:eastAsia="微軟正黑體" w:hAnsi="微軟正黑體" w:hint="eastAsia"/>
            <w:sz w:val="18"/>
          </w:rPr>
          <w:t>線上網頁版</w:t>
        </w:r>
      </w:hyperlink>
      <w:r w:rsidRPr="00673A1A">
        <w:rPr>
          <w:rFonts w:ascii="微軟正黑體" w:eastAsia="微軟正黑體" w:hAnsi="微軟正黑體" w:hint="eastAsia"/>
          <w:b/>
          <w:color w:val="5F5F5F"/>
          <w:sz w:val="18"/>
        </w:rPr>
        <w:t>〉〉</w:t>
      </w:r>
    </w:p>
    <w:p w14:paraId="4F038C91" w14:textId="77777777" w:rsidR="00673A1A" w:rsidRPr="00673A1A" w:rsidRDefault="00673A1A" w:rsidP="00673A1A">
      <w:pPr>
        <w:ind w:rightChars="-66" w:right="-132" w:firstLineChars="2880" w:firstLine="5760"/>
        <w:jc w:val="right"/>
        <w:rPr>
          <w:rFonts w:ascii="微軟正黑體" w:eastAsia="微軟正黑體" w:hAnsi="微軟正黑體" w:hint="eastAsia"/>
          <w:color w:val="000000"/>
          <w:u w:val="single"/>
        </w:rPr>
      </w:pPr>
    </w:p>
    <w:p w14:paraId="563465F3" w14:textId="77777777" w:rsidR="00673A1A" w:rsidRPr="00673A1A" w:rsidRDefault="00673A1A" w:rsidP="00673A1A">
      <w:pPr>
        <w:tabs>
          <w:tab w:val="num" w:pos="960"/>
        </w:tabs>
        <w:adjustRightInd w:val="0"/>
        <w:snapToGrid w:val="0"/>
        <w:ind w:leftChars="75" w:left="150"/>
        <w:rPr>
          <w:rFonts w:ascii="微軟正黑體" w:eastAsia="微軟正黑體" w:hAnsi="微軟正黑體" w:hint="eastAsia"/>
          <w:b/>
          <w:bCs/>
          <w:color w:val="333399"/>
        </w:rPr>
      </w:pPr>
      <w:r w:rsidRPr="00673A1A">
        <w:rPr>
          <w:rFonts w:ascii="微軟正黑體" w:eastAsia="微軟正黑體" w:hAnsi="微軟正黑體" w:hint="eastAsia"/>
          <w:b/>
          <w:bCs/>
          <w:color w:val="993300"/>
          <w:szCs w:val="20"/>
        </w:rPr>
        <w:t>【法律法規】</w:t>
      </w:r>
      <w:r w:rsidRPr="00673A1A">
        <w:rPr>
          <w:rFonts w:ascii="微軟正黑體" w:eastAsia="微軟正黑體" w:hAnsi="微軟正黑體" w:hint="eastAsia"/>
          <w:shadow/>
          <w:sz w:val="32"/>
        </w:rPr>
        <w:t>中華人民共和國外匯管理條例</w:t>
      </w:r>
    </w:p>
    <w:p w14:paraId="3337FBDC" w14:textId="7CAADDF0" w:rsidR="00673A1A" w:rsidRPr="00673A1A" w:rsidRDefault="00673A1A" w:rsidP="00673A1A">
      <w:pPr>
        <w:tabs>
          <w:tab w:val="num" w:pos="960"/>
        </w:tabs>
        <w:adjustRightInd w:val="0"/>
        <w:snapToGrid w:val="0"/>
        <w:ind w:leftChars="75" w:left="350" w:hangingChars="100" w:hanging="200"/>
        <w:rPr>
          <w:rFonts w:ascii="微軟正黑體" w:eastAsia="微軟正黑體" w:hAnsi="微軟正黑體" w:hint="eastAsia"/>
          <w:color w:val="800000"/>
        </w:rPr>
      </w:pPr>
      <w:r w:rsidRPr="00673A1A">
        <w:rPr>
          <w:rFonts w:ascii="微軟正黑體" w:eastAsia="微軟正黑體" w:hAnsi="微軟正黑體" w:hint="eastAsia"/>
          <w:b/>
          <w:bCs/>
          <w:color w:val="993300"/>
        </w:rPr>
        <w:t>【</w:t>
      </w:r>
      <w:r w:rsidR="00F13B29">
        <w:rPr>
          <w:rFonts w:ascii="微軟正黑體" w:eastAsia="微軟正黑體" w:hAnsi="微軟正黑體" w:hint="eastAsia"/>
          <w:b/>
          <w:bCs/>
          <w:color w:val="993300"/>
        </w:rPr>
        <w:t>發布</w:t>
      </w:r>
      <w:r w:rsidRPr="00673A1A">
        <w:rPr>
          <w:rFonts w:ascii="微軟正黑體" w:eastAsia="微軟正黑體" w:hAnsi="微軟正黑體" w:hint="eastAsia"/>
          <w:b/>
          <w:bCs/>
          <w:color w:val="993300"/>
        </w:rPr>
        <w:t>單位】</w:t>
      </w:r>
      <w:r w:rsidRPr="00673A1A">
        <w:rPr>
          <w:rFonts w:ascii="微軟正黑體" w:eastAsia="微軟正黑體" w:hAnsi="微軟正黑體" w:hint="eastAsia"/>
          <w:szCs w:val="26"/>
        </w:rPr>
        <w:t>中華人民共和國</w:t>
      </w:r>
      <w:r w:rsidRPr="00673A1A">
        <w:rPr>
          <w:rFonts w:ascii="微軟正黑體" w:eastAsia="微軟正黑體" w:hAnsi="微軟正黑體" w:hint="eastAsia"/>
          <w:color w:val="000000"/>
          <w:sz w:val="22"/>
          <w:szCs w:val="26"/>
        </w:rPr>
        <w:t>國務院</w:t>
      </w:r>
    </w:p>
    <w:p w14:paraId="05C605EF" w14:textId="290E6307" w:rsidR="00673A1A" w:rsidRPr="00673A1A" w:rsidRDefault="00673A1A" w:rsidP="00673A1A">
      <w:pPr>
        <w:tabs>
          <w:tab w:val="num" w:pos="960"/>
        </w:tabs>
        <w:adjustRightInd w:val="0"/>
        <w:snapToGrid w:val="0"/>
        <w:ind w:leftChars="75" w:left="150"/>
        <w:rPr>
          <w:rFonts w:ascii="微軟正黑體" w:eastAsia="微軟正黑體" w:hAnsi="微軟正黑體" w:hint="eastAsia"/>
          <w:color w:val="800000"/>
          <w:szCs w:val="20"/>
        </w:rPr>
      </w:pPr>
      <w:r w:rsidRPr="00673A1A">
        <w:rPr>
          <w:rFonts w:ascii="微軟正黑體" w:eastAsia="微軟正黑體" w:hAnsi="微軟正黑體" w:hint="eastAsia"/>
          <w:b/>
          <w:bCs/>
          <w:color w:val="993300"/>
          <w:szCs w:val="20"/>
        </w:rPr>
        <w:t>【</w:t>
      </w:r>
      <w:r w:rsidR="00F13B29">
        <w:rPr>
          <w:rFonts w:ascii="微軟正黑體" w:eastAsia="微軟正黑體" w:hAnsi="微軟正黑體" w:hint="eastAsia"/>
          <w:b/>
          <w:bCs/>
          <w:color w:val="990000"/>
        </w:rPr>
        <w:t>發布</w:t>
      </w:r>
      <w:r w:rsidRPr="00673A1A">
        <w:rPr>
          <w:rFonts w:ascii="微軟正黑體" w:eastAsia="微軟正黑體" w:hAnsi="微軟正黑體" w:hint="eastAsia"/>
          <w:b/>
          <w:color w:val="990000"/>
          <w:szCs w:val="20"/>
        </w:rPr>
        <w:t>/修正</w:t>
      </w:r>
      <w:r w:rsidRPr="00673A1A">
        <w:rPr>
          <w:rFonts w:ascii="微軟正黑體" w:eastAsia="微軟正黑體" w:hAnsi="微軟正黑體" w:hint="eastAsia"/>
          <w:b/>
          <w:bCs/>
          <w:color w:val="993300"/>
          <w:szCs w:val="20"/>
        </w:rPr>
        <w:t>】</w:t>
      </w:r>
      <w:r w:rsidRPr="00673A1A">
        <w:rPr>
          <w:rFonts w:ascii="微軟正黑體" w:eastAsia="微軟正黑體" w:hAnsi="微軟正黑體" w:hint="eastAsia"/>
          <w:szCs w:val="20"/>
        </w:rPr>
        <w:t>2008年8月1日</w:t>
      </w:r>
    </w:p>
    <w:p w14:paraId="18DE6197" w14:textId="77777777" w:rsidR="00673A1A" w:rsidRPr="00673A1A" w:rsidRDefault="00673A1A" w:rsidP="00673A1A">
      <w:pPr>
        <w:ind w:leftChars="75" w:left="1550" w:hangingChars="700" w:hanging="1400"/>
        <w:rPr>
          <w:rFonts w:ascii="微軟正黑體" w:eastAsia="微軟正黑體" w:hAnsi="微軟正黑體" w:hint="eastAsia"/>
          <w:sz w:val="18"/>
        </w:rPr>
      </w:pPr>
      <w:r w:rsidRPr="00673A1A">
        <w:rPr>
          <w:rFonts w:ascii="微軟正黑體" w:eastAsia="微軟正黑體" w:hAnsi="微軟正黑體" w:hint="eastAsia"/>
          <w:b/>
          <w:bCs/>
          <w:color w:val="993300"/>
          <w:szCs w:val="20"/>
        </w:rPr>
        <w:t>【實施日期】</w:t>
      </w:r>
      <w:r w:rsidRPr="00673A1A">
        <w:rPr>
          <w:rFonts w:ascii="微軟正黑體" w:eastAsia="微軟正黑體" w:hAnsi="微軟正黑體" w:hint="eastAsia"/>
          <w:szCs w:val="20"/>
        </w:rPr>
        <w:t>2008年8月1日</w:t>
      </w:r>
    </w:p>
    <w:p w14:paraId="2652A770" w14:textId="77777777" w:rsidR="00673A1A" w:rsidRPr="00673A1A" w:rsidRDefault="00673A1A" w:rsidP="00673A1A">
      <w:pPr>
        <w:ind w:leftChars="75" w:left="1410" w:hangingChars="700" w:hanging="1260"/>
        <w:rPr>
          <w:rFonts w:ascii="微軟正黑體" w:eastAsia="微軟正黑體" w:hAnsi="微軟正黑體" w:hint="eastAsia"/>
          <w:sz w:val="18"/>
        </w:rPr>
      </w:pPr>
    </w:p>
    <w:p w14:paraId="4BEE3566" w14:textId="77777777" w:rsidR="00673A1A" w:rsidRPr="00673A1A" w:rsidRDefault="00673A1A" w:rsidP="00673A1A">
      <w:pPr>
        <w:pStyle w:val="1"/>
        <w:rPr>
          <w:rFonts w:ascii="微軟正黑體" w:eastAsia="微軟正黑體" w:hAnsi="微軟正黑體" w:hint="eastAsia"/>
          <w:color w:val="990000"/>
        </w:rPr>
      </w:pPr>
      <w:r w:rsidRPr="00673A1A">
        <w:rPr>
          <w:rFonts w:ascii="微軟正黑體" w:eastAsia="微軟正黑體" w:hAnsi="微軟正黑體" w:hint="eastAsia"/>
          <w:color w:val="990000"/>
        </w:rPr>
        <w:t>【法規沿革】</w:t>
      </w:r>
    </w:p>
    <w:p w14:paraId="0C836F5C" w14:textId="35394699" w:rsidR="00673A1A" w:rsidRPr="00673A1A" w:rsidRDefault="00673A1A" w:rsidP="00673A1A">
      <w:pPr>
        <w:ind w:left="142"/>
        <w:jc w:val="both"/>
        <w:rPr>
          <w:rFonts w:ascii="微軟正黑體" w:eastAsia="微軟正黑體" w:hAnsi="微軟正黑體" w:hint="eastAsia"/>
          <w:sz w:val="18"/>
          <w:szCs w:val="22"/>
        </w:rPr>
      </w:pPr>
      <w:r w:rsidRPr="00673A1A">
        <w:rPr>
          <w:rFonts w:ascii="微軟正黑體" w:eastAsia="微軟正黑體" w:hAnsi="微軟正黑體" w:hint="eastAsia"/>
          <w:sz w:val="18"/>
          <w:szCs w:val="22"/>
        </w:rPr>
        <w:t>．1996年1月29日中華人民共和國國務院令第193號</w:t>
      </w:r>
      <w:r w:rsidR="00F13B29">
        <w:rPr>
          <w:rFonts w:ascii="微軟正黑體" w:eastAsia="微軟正黑體" w:hAnsi="微軟正黑體" w:hint="eastAsia"/>
          <w:sz w:val="18"/>
          <w:szCs w:val="22"/>
        </w:rPr>
        <w:t>發布</w:t>
      </w:r>
    </w:p>
    <w:p w14:paraId="2953E614" w14:textId="77777777" w:rsidR="00673A1A" w:rsidRPr="00673A1A" w:rsidRDefault="00673A1A" w:rsidP="00673A1A">
      <w:pPr>
        <w:ind w:left="142"/>
        <w:jc w:val="both"/>
        <w:rPr>
          <w:rFonts w:ascii="微軟正黑體" w:eastAsia="微軟正黑體" w:hAnsi="微軟正黑體" w:hint="eastAsia"/>
          <w:sz w:val="18"/>
          <w:szCs w:val="22"/>
        </w:rPr>
      </w:pPr>
      <w:r w:rsidRPr="00673A1A">
        <w:rPr>
          <w:rFonts w:ascii="微軟正黑體" w:eastAsia="微軟正黑體" w:hAnsi="微軟正黑體" w:hint="eastAsia"/>
          <w:sz w:val="18"/>
          <w:szCs w:val="22"/>
        </w:rPr>
        <w:t>．1997年1月14日《國務院關於修改〈中華人民共和國外匯管理條例〉的決定》修訂</w:t>
      </w:r>
    </w:p>
    <w:p w14:paraId="12AE55F3" w14:textId="73881060" w:rsidR="00673A1A" w:rsidRPr="00673A1A" w:rsidRDefault="00673A1A" w:rsidP="00673A1A">
      <w:pPr>
        <w:ind w:left="142"/>
        <w:jc w:val="both"/>
        <w:rPr>
          <w:rStyle w:val="a3"/>
          <w:rFonts w:ascii="微軟正黑體" w:eastAsia="微軟正黑體" w:hAnsi="微軟正黑體" w:hint="eastAsia"/>
          <w:color w:val="990000"/>
          <w:sz w:val="18"/>
          <w:szCs w:val="18"/>
        </w:rPr>
      </w:pPr>
      <w:r w:rsidRPr="00673A1A">
        <w:rPr>
          <w:rFonts w:ascii="微軟正黑體" w:eastAsia="微軟正黑體" w:hAnsi="微軟正黑體" w:hint="eastAsia"/>
          <w:sz w:val="18"/>
          <w:szCs w:val="18"/>
        </w:rPr>
        <w:t>．2008年8月1日中華人民共和國國務院令第532號國務院第20次常務會議修訂通過，自公</w:t>
      </w:r>
      <w:r w:rsidR="00316FBC">
        <w:rPr>
          <w:rFonts w:ascii="微軟正黑體" w:eastAsia="微軟正黑體" w:hAnsi="微軟正黑體" w:hint="eastAsia"/>
          <w:sz w:val="18"/>
          <w:szCs w:val="18"/>
        </w:rPr>
        <w:t>布</w:t>
      </w:r>
      <w:r w:rsidRPr="00673A1A">
        <w:rPr>
          <w:rFonts w:ascii="微軟正黑體" w:eastAsia="微軟正黑體" w:hAnsi="微軟正黑體" w:hint="eastAsia"/>
          <w:sz w:val="18"/>
          <w:szCs w:val="18"/>
        </w:rPr>
        <w:t>之日起施行</w:t>
      </w:r>
    </w:p>
    <w:p w14:paraId="45240619" w14:textId="77777777" w:rsidR="00673A1A" w:rsidRPr="00673A1A" w:rsidRDefault="00673A1A" w:rsidP="00673A1A">
      <w:pPr>
        <w:ind w:left="142"/>
        <w:jc w:val="both"/>
        <w:rPr>
          <w:rStyle w:val="a3"/>
          <w:rFonts w:ascii="微軟正黑體" w:eastAsia="微軟正黑體" w:hAnsi="微軟正黑體"/>
          <w:sz w:val="18"/>
          <w:szCs w:val="18"/>
        </w:rPr>
      </w:pPr>
    </w:p>
    <w:p w14:paraId="120AB71D" w14:textId="77777777" w:rsidR="00673A1A" w:rsidRPr="00673A1A" w:rsidRDefault="00673A1A" w:rsidP="00673A1A">
      <w:pPr>
        <w:pStyle w:val="1"/>
        <w:rPr>
          <w:rFonts w:ascii="微軟正黑體" w:eastAsia="微軟正黑體" w:hAnsi="微軟正黑體" w:cs="細明體"/>
          <w:color w:val="990000"/>
        </w:rPr>
      </w:pPr>
      <w:bookmarkStart w:id="5" w:name="bbb"/>
      <w:bookmarkEnd w:id="5"/>
      <w:r w:rsidRPr="00673A1A">
        <w:rPr>
          <w:rFonts w:ascii="微軟正黑體" w:eastAsia="微軟正黑體" w:hAnsi="微軟正黑體" w:hint="eastAsia"/>
          <w:color w:val="990000"/>
        </w:rPr>
        <w:t>【章節索引】</w:t>
      </w:r>
    </w:p>
    <w:p w14:paraId="401F98B2" w14:textId="1080821D"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第一章　</w:t>
      </w:r>
      <w:hyperlink w:anchor="_第一章__總" w:history="1">
        <w:r w:rsidRPr="00673A1A">
          <w:rPr>
            <w:rStyle w:val="a3"/>
            <w:rFonts w:ascii="微軟正黑體" w:eastAsia="微軟正黑體" w:hAnsi="微軟正黑體" w:cs="細明體"/>
          </w:rPr>
          <w:t>總則</w:t>
        </w:r>
      </w:hyperlink>
      <w:r w:rsidRPr="00673A1A">
        <w:rPr>
          <w:rFonts w:ascii="微軟正黑體" w:eastAsia="微軟正黑體" w:hAnsi="微軟正黑體" w:cs="細明體" w:hint="eastAsia"/>
          <w:color w:val="990000"/>
        </w:rPr>
        <w:t xml:space="preserve">　§1</w:t>
      </w:r>
    </w:p>
    <w:p w14:paraId="1731B13E" w14:textId="6CA3F67C"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第二章　</w:t>
      </w:r>
      <w:hyperlink w:anchor="_第二章經常專案外匯管理" w:history="1">
        <w:r w:rsidRPr="00673A1A">
          <w:rPr>
            <w:rStyle w:val="a3"/>
            <w:rFonts w:ascii="微軟正黑體" w:eastAsia="微軟正黑體" w:hAnsi="微軟正黑體" w:cs="細明體"/>
          </w:rPr>
          <w:t>經常項目外匯管理</w:t>
        </w:r>
      </w:hyperlink>
      <w:r w:rsidRPr="00673A1A">
        <w:rPr>
          <w:rFonts w:ascii="微軟正黑體" w:eastAsia="微軟正黑體" w:hAnsi="微軟正黑體" w:cs="細明體" w:hint="eastAsia"/>
          <w:color w:val="990000"/>
        </w:rPr>
        <w:t xml:space="preserve">　§12</w:t>
      </w:r>
    </w:p>
    <w:p w14:paraId="6869636C" w14:textId="6933F0B3"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第三章　</w:t>
      </w:r>
      <w:hyperlink w:anchor="_第三章資本專案外匯管理" w:history="1">
        <w:r w:rsidRPr="00673A1A">
          <w:rPr>
            <w:rStyle w:val="a3"/>
            <w:rFonts w:ascii="微軟正黑體" w:eastAsia="微軟正黑體" w:hAnsi="微軟正黑體" w:cs="細明體"/>
          </w:rPr>
          <w:t>資本項目外匯管理</w:t>
        </w:r>
      </w:hyperlink>
      <w:r w:rsidRPr="00673A1A">
        <w:rPr>
          <w:rFonts w:ascii="微軟正黑體" w:eastAsia="微軟正黑體" w:hAnsi="微軟正黑體" w:cs="細明體" w:hint="eastAsia"/>
          <w:color w:val="990000"/>
        </w:rPr>
        <w:t xml:space="preserve">　§16</w:t>
      </w:r>
    </w:p>
    <w:p w14:paraId="2E182683" w14:textId="08A5F466"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第四章　</w:t>
      </w:r>
      <w:hyperlink w:anchor="_第四章__金融機構外匯業務管理" w:history="1">
        <w:r w:rsidRPr="00673A1A">
          <w:rPr>
            <w:rStyle w:val="a3"/>
            <w:rFonts w:ascii="微軟正黑體" w:eastAsia="微軟正黑體" w:hAnsi="微軟正黑體" w:cs="細明體"/>
          </w:rPr>
          <w:t>金融機構外匯業務管理</w:t>
        </w:r>
      </w:hyperlink>
      <w:r w:rsidRPr="00673A1A">
        <w:rPr>
          <w:rFonts w:ascii="微軟正黑體" w:eastAsia="微軟正黑體" w:hAnsi="微軟正黑體" w:cs="細明體" w:hint="eastAsia"/>
          <w:color w:val="990000"/>
        </w:rPr>
        <w:t xml:space="preserve">　§24</w:t>
      </w:r>
    </w:p>
    <w:p w14:paraId="6F8A483A" w14:textId="619D99B6"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第五章　</w:t>
      </w:r>
      <w:hyperlink w:anchor="_第五章__人民幣匯率和外匯市場管理" w:history="1">
        <w:r w:rsidRPr="00673A1A">
          <w:rPr>
            <w:rStyle w:val="a3"/>
            <w:rFonts w:ascii="微軟正黑體" w:eastAsia="微軟正黑體" w:hAnsi="微軟正黑體" w:cs="細明體"/>
          </w:rPr>
          <w:t>人民幣匯率和外匯市場管理</w:t>
        </w:r>
      </w:hyperlink>
      <w:r w:rsidRPr="00673A1A">
        <w:rPr>
          <w:rFonts w:ascii="微軟正黑體" w:eastAsia="微軟正黑體" w:hAnsi="微軟正黑體" w:cs="細明體" w:hint="eastAsia"/>
          <w:color w:val="990000"/>
        </w:rPr>
        <w:t xml:space="preserve">　§27</w:t>
      </w:r>
    </w:p>
    <w:p w14:paraId="2701D4B4" w14:textId="761EBED8"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第六章　</w:t>
      </w:r>
      <w:hyperlink w:anchor="_第六章__監督管理" w:history="1">
        <w:r w:rsidRPr="00673A1A">
          <w:rPr>
            <w:rStyle w:val="a3"/>
            <w:rFonts w:ascii="微軟正黑體" w:eastAsia="微軟正黑體" w:hAnsi="微軟正黑體" w:cs="細明體"/>
          </w:rPr>
          <w:t>監督管理</w:t>
        </w:r>
      </w:hyperlink>
      <w:r w:rsidRPr="00673A1A">
        <w:rPr>
          <w:rFonts w:ascii="微軟正黑體" w:eastAsia="微軟正黑體" w:hAnsi="微軟正黑體" w:cs="細明體" w:hint="eastAsia"/>
          <w:color w:val="990000"/>
        </w:rPr>
        <w:t xml:space="preserve">　§33</w:t>
      </w:r>
    </w:p>
    <w:p w14:paraId="0C49CC25" w14:textId="148C5B9C"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第七章　</w:t>
      </w:r>
      <w:hyperlink w:anchor="_第七章__法律責任" w:history="1">
        <w:r w:rsidRPr="00673A1A">
          <w:rPr>
            <w:rStyle w:val="a3"/>
            <w:rFonts w:ascii="微軟正黑體" w:eastAsia="微軟正黑體" w:hAnsi="微軟正黑體" w:cs="細明體"/>
          </w:rPr>
          <w:t>法律責任</w:t>
        </w:r>
      </w:hyperlink>
      <w:r w:rsidRPr="00673A1A">
        <w:rPr>
          <w:rFonts w:ascii="微軟正黑體" w:eastAsia="微軟正黑體" w:hAnsi="微軟正黑體" w:cs="細明體" w:hint="eastAsia"/>
          <w:color w:val="990000"/>
        </w:rPr>
        <w:t xml:space="preserve">　§39</w:t>
      </w:r>
    </w:p>
    <w:p w14:paraId="06295740" w14:textId="67A31BF4" w:rsidR="00673A1A" w:rsidRPr="00673A1A" w:rsidRDefault="00673A1A" w:rsidP="00673A1A">
      <w:pPr>
        <w:ind w:left="142"/>
        <w:jc w:val="both"/>
        <w:rPr>
          <w:rFonts w:ascii="微軟正黑體" w:eastAsia="微軟正黑體" w:hAnsi="微軟正黑體" w:cs="細明體" w:hint="eastAsia"/>
          <w:color w:val="990000"/>
        </w:rPr>
      </w:pPr>
      <w:r w:rsidRPr="00673A1A">
        <w:rPr>
          <w:rFonts w:ascii="微軟正黑體" w:eastAsia="微軟正黑體" w:hAnsi="微軟正黑體" w:cs="細明體" w:hint="eastAsia"/>
          <w:color w:val="990000"/>
        </w:rPr>
        <w:t xml:space="preserve">第八章　</w:t>
      </w:r>
      <w:hyperlink w:anchor="_第八章__附" w:history="1">
        <w:r w:rsidRPr="00673A1A">
          <w:rPr>
            <w:rStyle w:val="a3"/>
            <w:rFonts w:ascii="微軟正黑體" w:eastAsia="微軟正黑體" w:hAnsi="微軟正黑體" w:cs="細明體"/>
          </w:rPr>
          <w:t>附則</w:t>
        </w:r>
      </w:hyperlink>
      <w:r w:rsidRPr="00673A1A">
        <w:rPr>
          <w:rFonts w:ascii="微軟正黑體" w:eastAsia="微軟正黑體" w:hAnsi="微軟正黑體" w:cs="細明體" w:hint="eastAsia"/>
          <w:color w:val="990000"/>
        </w:rPr>
        <w:t xml:space="preserve">　§52</w:t>
      </w:r>
    </w:p>
    <w:p w14:paraId="7B04E160" w14:textId="77777777" w:rsidR="00673A1A" w:rsidRPr="00673A1A" w:rsidRDefault="00673A1A" w:rsidP="00673A1A">
      <w:pPr>
        <w:ind w:left="119"/>
        <w:jc w:val="both"/>
        <w:rPr>
          <w:rFonts w:ascii="微軟正黑體" w:eastAsia="微軟正黑體" w:hAnsi="微軟正黑體" w:cs="細明體" w:hint="eastAsia"/>
          <w:color w:val="000000"/>
        </w:rPr>
      </w:pPr>
    </w:p>
    <w:p w14:paraId="054729BF" w14:textId="77777777" w:rsidR="00673A1A" w:rsidRPr="00673A1A" w:rsidRDefault="00673A1A" w:rsidP="00673A1A">
      <w:pPr>
        <w:pStyle w:val="1"/>
        <w:rPr>
          <w:rFonts w:ascii="微軟正黑體" w:eastAsia="微軟正黑體" w:hAnsi="微軟正黑體" w:hint="eastAsia"/>
          <w:color w:val="990000"/>
        </w:rPr>
      </w:pPr>
      <w:r w:rsidRPr="00673A1A">
        <w:rPr>
          <w:rFonts w:ascii="微軟正黑體" w:eastAsia="微軟正黑體" w:hAnsi="微軟正黑體" w:hint="eastAsia"/>
          <w:color w:val="990000"/>
        </w:rPr>
        <w:t>【法規內容】</w:t>
      </w:r>
    </w:p>
    <w:p w14:paraId="16194042" w14:textId="77777777" w:rsidR="00673A1A" w:rsidRPr="00673A1A" w:rsidRDefault="00673A1A" w:rsidP="00673A1A">
      <w:pPr>
        <w:pStyle w:val="1"/>
        <w:rPr>
          <w:rFonts w:ascii="微軟正黑體" w:eastAsia="微軟正黑體" w:hAnsi="微軟正黑體" w:hint="eastAsia"/>
        </w:rPr>
      </w:pPr>
      <w:bookmarkStart w:id="6" w:name="_第一章__總"/>
      <w:bookmarkEnd w:id="6"/>
      <w:r w:rsidRPr="00673A1A">
        <w:rPr>
          <w:rFonts w:ascii="微軟正黑體" w:eastAsia="微軟正黑體" w:hAnsi="微軟正黑體" w:hint="eastAsia"/>
        </w:rPr>
        <w:t>第一章　　總　則</w:t>
      </w:r>
    </w:p>
    <w:p w14:paraId="61C2DC79"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第1條</w:t>
      </w:r>
    </w:p>
    <w:p w14:paraId="0B90E627"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為了加強外匯管理，促進國際收支平衡，促進國民經濟健康發展，制定本條例。</w:t>
      </w:r>
    </w:p>
    <w:p w14:paraId="50DA11A0"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lastRenderedPageBreak/>
        <w:t>第2條</w:t>
      </w:r>
    </w:p>
    <w:p w14:paraId="58E30E73"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國務院外匯管理部門及其分支機構（以下統稱外匯管理機關）依法履行外匯管理職責，負責本條例的實施。</w:t>
      </w:r>
    </w:p>
    <w:p w14:paraId="19AE3E20"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第3條</w:t>
      </w:r>
    </w:p>
    <w:p w14:paraId="4C921E20"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本條例所稱外匯，是指下列以外幣表示的可以用作國際清償的支付手段和資產：</w:t>
      </w:r>
    </w:p>
    <w:p w14:paraId="1C9A9CE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（一）外幣現鈔，包括紙幣、鑄幣；</w:t>
      </w:r>
    </w:p>
    <w:p w14:paraId="7282E7C4"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（二）外幣支付憑證或者支付工具，包括票據、銀行存款憑證、銀行卡等；</w:t>
      </w:r>
    </w:p>
    <w:p w14:paraId="230248D6"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（三）外幣有價證券，包括債券、股票等；</w:t>
      </w:r>
    </w:p>
    <w:p w14:paraId="29B0EC52"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（四）特別提款權；</w:t>
      </w:r>
    </w:p>
    <w:p w14:paraId="0366D092"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（五）其他外匯資產。</w:t>
      </w:r>
    </w:p>
    <w:p w14:paraId="1A5C2F28"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第4條</w:t>
      </w:r>
    </w:p>
    <w:p w14:paraId="5D89DB42"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境內機構、境內個人的外匯收支或者外匯經營活動，以及境外機構、境外個人在境內的外匯收支或者外匯經營活動，適用本條例。</w:t>
      </w:r>
    </w:p>
    <w:p w14:paraId="0CAD68FE"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第5條</w:t>
      </w:r>
    </w:p>
    <w:p w14:paraId="73A18EF8"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國家對經常性國際支付和轉移不予限制。</w:t>
      </w:r>
    </w:p>
    <w:p w14:paraId="17F6B0DD"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第6條</w:t>
      </w:r>
    </w:p>
    <w:p w14:paraId="6DEBCFFF"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國家實行國際收支統計申報制度。</w:t>
      </w:r>
    </w:p>
    <w:p w14:paraId="0A974EF1" w14:textId="1D50E3EA"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國務院外匯管理部門應當對國際收支進行統計、監測，定期公</w:t>
      </w:r>
      <w:r w:rsidR="00316FBC">
        <w:rPr>
          <w:rFonts w:ascii="微軟正黑體" w:eastAsia="微軟正黑體" w:hAnsi="微軟正黑體" w:hint="eastAsia"/>
          <w:color w:val="17365D"/>
        </w:rPr>
        <w:t>布</w:t>
      </w:r>
      <w:r w:rsidRPr="00673A1A">
        <w:rPr>
          <w:rFonts w:ascii="微軟正黑體" w:eastAsia="微軟正黑體" w:hAnsi="微軟正黑體" w:hint="eastAsia"/>
          <w:color w:val="17365D"/>
        </w:rPr>
        <w:t>國際收支狀況。</w:t>
      </w:r>
    </w:p>
    <w:p w14:paraId="69BC3D34"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第7條</w:t>
      </w:r>
    </w:p>
    <w:p w14:paraId="7584E2EE"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經營外匯業務的金融機構應當按照國務院外匯管理部門的規定為客戶開立外匯賬戶，並通過外匯賬戶辦理外匯業務。</w:t>
      </w:r>
    </w:p>
    <w:p w14:paraId="0602CC03"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經營外匯業務的金融機構應當依法向外匯管理機關報送客戶的外匯收支及賬戶變動情況。</w:t>
      </w:r>
    </w:p>
    <w:p w14:paraId="345932D5"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第8條</w:t>
      </w:r>
    </w:p>
    <w:p w14:paraId="5CFFE181"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中華人民共和國境內禁止外幣流通，並不得以外幣計價結算，但國家另有規定的除外。</w:t>
      </w:r>
    </w:p>
    <w:p w14:paraId="5F7B00AE"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第9條</w:t>
      </w:r>
    </w:p>
    <w:p w14:paraId="0CD605DB"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境內機構、境內個人的外匯收入可以調回境內或者存放境外；調回境內或者存放境外的條件、期限等，由國務院外匯管理部門根據國際收支狀況和外匯管理的需要作出規定。</w:t>
      </w:r>
    </w:p>
    <w:p w14:paraId="09AB5297"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第10條</w:t>
      </w:r>
    </w:p>
    <w:p w14:paraId="0C8C2EE5"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國務院外匯管理部門依法持有、管理、經營國家外匯儲備，遵循安全、流動、增值的原則。</w:t>
      </w:r>
    </w:p>
    <w:p w14:paraId="78EFB7F7"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第11條</w:t>
      </w:r>
    </w:p>
    <w:p w14:paraId="1F718873"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國際收支出現或者可能出現嚴重失衡，以及國民經濟出現或者可能出現嚴重危機時，國家可以對國際收支採取必要的保障、控制等措施。</w:t>
      </w:r>
    </w:p>
    <w:p w14:paraId="618C7838" w14:textId="777446E4"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w:t>
      </w:r>
      <w:r w:rsidRPr="00673A1A">
        <w:rPr>
          <w:rFonts w:ascii="微軟正黑體" w:eastAsia="微軟正黑體" w:hAnsi="微軟正黑體" w:hint="eastAsia"/>
          <w:color w:val="808000"/>
          <w:sz w:val="18"/>
        </w:rPr>
        <w:t xml:space="preserve">　　　　　　　　　　　　　　　　　　　　　　　　　　　　　　　　　　　　　　　　　　　　　</w:t>
      </w:r>
      <w:hyperlink w:anchor="bbb" w:history="1">
        <w:r w:rsidRPr="00673A1A">
          <w:rPr>
            <w:rStyle w:val="a3"/>
            <w:rFonts w:ascii="微軟正黑體" w:eastAsia="微軟正黑體" w:hAnsi="微軟正黑體"/>
            <w:sz w:val="18"/>
          </w:rPr>
          <w:t>回索引</w:t>
        </w:r>
      </w:hyperlink>
      <w:r w:rsidRPr="00673A1A">
        <w:rPr>
          <w:rFonts w:ascii="微軟正黑體" w:eastAsia="微軟正黑體" w:hAnsi="微軟正黑體" w:hint="eastAsia"/>
          <w:color w:val="808000"/>
          <w:sz w:val="18"/>
        </w:rPr>
        <w:t>〉〉</w:t>
      </w:r>
    </w:p>
    <w:p w14:paraId="64ECF161" w14:textId="77777777" w:rsidR="00673A1A" w:rsidRPr="00673A1A" w:rsidRDefault="00673A1A" w:rsidP="00673A1A">
      <w:pPr>
        <w:pStyle w:val="1"/>
        <w:rPr>
          <w:rFonts w:ascii="微軟正黑體" w:eastAsia="微軟正黑體" w:hAnsi="微軟正黑體" w:hint="eastAsia"/>
        </w:rPr>
      </w:pPr>
      <w:bookmarkStart w:id="7" w:name="_第二章經常專案外匯管理"/>
      <w:bookmarkEnd w:id="7"/>
      <w:r w:rsidRPr="00673A1A">
        <w:rPr>
          <w:rFonts w:ascii="微軟正黑體" w:eastAsia="微軟正黑體" w:hAnsi="微軟正黑體" w:hint="eastAsia"/>
        </w:rPr>
        <w:lastRenderedPageBreak/>
        <w:t>第二章　　經常項目外匯管理</w:t>
      </w:r>
    </w:p>
    <w:p w14:paraId="70F50BCC"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第12條</w:t>
      </w:r>
    </w:p>
    <w:p w14:paraId="03D29117"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經常項目外匯收支應當具有真實、合法的交易基礎。經營結匯、售匯業務的金融機構應當按照國務院外匯管理部門的規定，對交易單證的真實性及其與外匯收支的一致性進行合理審查。</w:t>
      </w:r>
    </w:p>
    <w:p w14:paraId="4014DC1F"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外匯管理機關有權對前款規定事項進行監督檢查。</w:t>
      </w:r>
    </w:p>
    <w:p w14:paraId="7B4D7703"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第13條</w:t>
      </w:r>
    </w:p>
    <w:p w14:paraId="65DBA18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經常項目外匯收入，可以按照國家有關規定保留或者賣給經營結匯、售匯業務的金融機構。</w:t>
      </w:r>
    </w:p>
    <w:p w14:paraId="35D19AFB"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第14條</w:t>
      </w:r>
    </w:p>
    <w:p w14:paraId="45335338"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經常項目外匯支出，應當按照國務院外匯管理部門關於付匯與購匯的管理規定，憑有效單證以自有外匯支付或者向經營結匯、售匯業務的金融機構購匯支付。</w:t>
      </w:r>
    </w:p>
    <w:p w14:paraId="5D0C627C"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第15條</w:t>
      </w:r>
    </w:p>
    <w:p w14:paraId="3F2B1267"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攜帶、申報外幣現鈔出入境的限額，由國務院外匯管理部門規定。</w:t>
      </w:r>
    </w:p>
    <w:p w14:paraId="726DCDB6" w14:textId="42D07E35"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w:t>
      </w:r>
      <w:r w:rsidRPr="00673A1A">
        <w:rPr>
          <w:rFonts w:ascii="微軟正黑體" w:eastAsia="微軟正黑體" w:hAnsi="微軟正黑體" w:hint="eastAsia"/>
          <w:color w:val="808000"/>
          <w:sz w:val="18"/>
        </w:rPr>
        <w:t xml:space="preserve">　　　　　　　　　　　　　　　　　　　　　　　　　　　　　　　　　　　　　　　　　　　　　</w:t>
      </w:r>
      <w:hyperlink w:anchor="bbb" w:history="1">
        <w:r w:rsidRPr="00673A1A">
          <w:rPr>
            <w:rStyle w:val="a3"/>
            <w:rFonts w:ascii="微軟正黑體" w:eastAsia="微軟正黑體" w:hAnsi="微軟正黑體"/>
            <w:sz w:val="18"/>
          </w:rPr>
          <w:t>回索</w:t>
        </w:r>
        <w:r w:rsidRPr="00673A1A">
          <w:rPr>
            <w:rStyle w:val="a3"/>
            <w:rFonts w:ascii="微軟正黑體" w:eastAsia="微軟正黑體" w:hAnsi="微軟正黑體"/>
            <w:sz w:val="18"/>
          </w:rPr>
          <w:t>引</w:t>
        </w:r>
      </w:hyperlink>
      <w:r w:rsidRPr="00673A1A">
        <w:rPr>
          <w:rFonts w:ascii="微軟正黑體" w:eastAsia="微軟正黑體" w:hAnsi="微軟正黑體" w:hint="eastAsia"/>
          <w:color w:val="808000"/>
          <w:sz w:val="18"/>
        </w:rPr>
        <w:t>〉〉</w:t>
      </w:r>
    </w:p>
    <w:p w14:paraId="7979A637" w14:textId="77777777" w:rsidR="00673A1A" w:rsidRPr="00673A1A" w:rsidRDefault="00673A1A" w:rsidP="00673A1A">
      <w:pPr>
        <w:pStyle w:val="1"/>
        <w:rPr>
          <w:rFonts w:ascii="微軟正黑體" w:eastAsia="微軟正黑體" w:hAnsi="微軟正黑體" w:hint="eastAsia"/>
        </w:rPr>
      </w:pPr>
      <w:bookmarkStart w:id="8" w:name="_第三章資本專案外匯管理"/>
      <w:bookmarkStart w:id="9" w:name="_第三章__資本專案外匯管理"/>
      <w:bookmarkEnd w:id="8"/>
      <w:bookmarkEnd w:id="9"/>
      <w:r w:rsidRPr="00673A1A">
        <w:rPr>
          <w:rFonts w:ascii="微軟正黑體" w:eastAsia="微軟正黑體" w:hAnsi="微軟正黑體" w:hint="eastAsia"/>
        </w:rPr>
        <w:t>第三章　　資本項目外匯管理</w:t>
      </w:r>
    </w:p>
    <w:p w14:paraId="4AEA89C9"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第16條</w:t>
      </w:r>
    </w:p>
    <w:p w14:paraId="22B4BCF6"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境外機構、境外個人在境內直接投資，經有關主管部門批准後，應當到外匯管理機關辦理登記。</w:t>
      </w:r>
    </w:p>
    <w:p w14:paraId="0AC1F426"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境外機構、境外個人在境內從事有價證券或者衍生產品發行、交易，應當遵守國家關於市場准入的規定，並按照國務院外匯管理部門的規定辦理登記。</w:t>
      </w:r>
    </w:p>
    <w:p w14:paraId="4DC013EB"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第17條</w:t>
      </w:r>
    </w:p>
    <w:p w14:paraId="5CC90E76"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境內機構、境內個人向境外直接投資或者從事境外有價證券、衍生產品發行、交易，應當按照國務院外匯管理部門的規定辦理登記。國家規定需要事先經有關主管部門批准或者備案的，應當在外匯登記前辦理批准或者備案手續。</w:t>
      </w:r>
    </w:p>
    <w:p w14:paraId="283CBAE2"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第18條</w:t>
      </w:r>
    </w:p>
    <w:p w14:paraId="3CDA26C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國家對外債實行規模管理。借用外債應當按照國家有關規定辦理，並到外匯管理機關辦理外債登記。</w:t>
      </w:r>
    </w:p>
    <w:p w14:paraId="180F50E1" w14:textId="2BF8723A"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國務院外匯管理部門負責全國的外債統計與監測，並定期公</w:t>
      </w:r>
      <w:r w:rsidR="00316FBC">
        <w:rPr>
          <w:rFonts w:ascii="微軟正黑體" w:eastAsia="微軟正黑體" w:hAnsi="微軟正黑體" w:hint="eastAsia"/>
          <w:color w:val="17365D"/>
        </w:rPr>
        <w:t>布</w:t>
      </w:r>
      <w:r w:rsidRPr="00673A1A">
        <w:rPr>
          <w:rFonts w:ascii="微軟正黑體" w:eastAsia="微軟正黑體" w:hAnsi="微軟正黑體" w:hint="eastAsia"/>
          <w:color w:val="17365D"/>
        </w:rPr>
        <w:t>外債情況。</w:t>
      </w:r>
    </w:p>
    <w:p w14:paraId="1E9E896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第19條</w:t>
      </w:r>
    </w:p>
    <w:p w14:paraId="43090636"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提供對外擔保，應當向外匯管理機關提出申請，由外匯管理機關根據申請人的資產負債等情況作出批准或者不批准的決定；國家規定其經營範圍需經有關主管部門批准的，應當在向外匯管理機關提出申請前辦理批准手續。申請人簽訂對外擔保合同後，應當到外匯管理機關辦理對外擔保登記。</w:t>
      </w:r>
    </w:p>
    <w:p w14:paraId="4C401364"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經國務院批准為使用外國政府或者國際金融組織貸款進行轉貸提供對外擔保的，不適用前款規定。</w:t>
      </w:r>
    </w:p>
    <w:p w14:paraId="5134D1FF"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第20條</w:t>
      </w:r>
    </w:p>
    <w:p w14:paraId="72690856"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銀行業金融機構在經批准的經營範圍內可以直接向境外提供商業貸款。其他境內機構向境外提供商業貸款，應當向外匯管理機關提出申請，外匯管理機關根據申請人的資產負債等情況作出批准或者不批准的決定；國家規定其經營範圍需經有關主管部門批准的，應當在向外匯管理機關提出申請前辦理批准手續。</w:t>
      </w:r>
    </w:p>
    <w:p w14:paraId="4271D03D"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lastRenderedPageBreak/>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向境外提供商業貸款，應當按照國務院外匯管理部門的規定辦理登記。</w:t>
      </w:r>
    </w:p>
    <w:p w14:paraId="234E9DE3"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第21條</w:t>
      </w:r>
    </w:p>
    <w:p w14:paraId="1A0BCC42"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資本項目外匯收入保留或者賣給經營結匯、售匯業務的金融機構，應當經外匯管理機關批准，但國家規定無需批准的除外。</w:t>
      </w:r>
    </w:p>
    <w:p w14:paraId="51A7BBB2"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第22條</w:t>
      </w:r>
    </w:p>
    <w:p w14:paraId="2AD86C97"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資本項目外匯支出，應當按照國務院外匯管理部門關於付匯與購匯的管理規定，憑有效單證以自有外匯支付或者向經營結匯、售匯業務的金融機構購匯支付。國家規定應當經外匯管理機關批准的，應當在外匯支付前辦理批准手續。</w:t>
      </w:r>
    </w:p>
    <w:p w14:paraId="4BCA96ED"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依法終止的外商投資企業，按照國家有關規定進行清算、納稅後，屬於外方投資者所有的人民幣，可以向經營結匯、售匯業務的金融機構購匯匯出。</w:t>
      </w:r>
    </w:p>
    <w:p w14:paraId="360CD32C"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第23條</w:t>
      </w:r>
    </w:p>
    <w:p w14:paraId="250E06FE"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資本項目外匯及結匯資金，應當按照有關主管部門及外匯管理機關批准的用途使用。外匯管理機關有權對資本項目外匯及結匯資金使用和賬戶變動情況進行監督檢查。</w:t>
      </w:r>
    </w:p>
    <w:p w14:paraId="262F071B" w14:textId="538687F3"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w:t>
      </w:r>
      <w:r w:rsidRPr="00673A1A">
        <w:rPr>
          <w:rFonts w:ascii="微軟正黑體" w:eastAsia="微軟正黑體" w:hAnsi="微軟正黑體" w:hint="eastAsia"/>
          <w:color w:val="808000"/>
          <w:sz w:val="18"/>
        </w:rPr>
        <w:t xml:space="preserve">　　　　　　　　　　　　　　　　　　　　　　　　　　　　　　　　　　　　　　　　　　　　　</w:t>
      </w:r>
      <w:hyperlink w:anchor="bbb" w:history="1">
        <w:r w:rsidRPr="00673A1A">
          <w:rPr>
            <w:rStyle w:val="a3"/>
            <w:rFonts w:ascii="微軟正黑體" w:eastAsia="微軟正黑體" w:hAnsi="微軟正黑體"/>
            <w:sz w:val="18"/>
          </w:rPr>
          <w:t>回索引</w:t>
        </w:r>
      </w:hyperlink>
      <w:r w:rsidRPr="00673A1A">
        <w:rPr>
          <w:rFonts w:ascii="微軟正黑體" w:eastAsia="微軟正黑體" w:hAnsi="微軟正黑體" w:hint="eastAsia"/>
          <w:color w:val="808000"/>
          <w:sz w:val="18"/>
        </w:rPr>
        <w:t>〉〉</w:t>
      </w:r>
    </w:p>
    <w:p w14:paraId="75305F90" w14:textId="77777777" w:rsidR="00673A1A" w:rsidRPr="00673A1A" w:rsidRDefault="00673A1A" w:rsidP="00673A1A">
      <w:pPr>
        <w:pStyle w:val="1"/>
        <w:rPr>
          <w:rFonts w:ascii="微軟正黑體" w:eastAsia="微軟正黑體" w:hAnsi="微軟正黑體" w:hint="eastAsia"/>
        </w:rPr>
      </w:pPr>
      <w:bookmarkStart w:id="10" w:name="_第四章__金融機構外匯業務管理"/>
      <w:bookmarkEnd w:id="10"/>
      <w:r w:rsidRPr="00673A1A">
        <w:rPr>
          <w:rFonts w:ascii="微軟正黑體" w:eastAsia="微軟正黑體" w:hAnsi="微軟正黑體" w:hint="eastAsia"/>
        </w:rPr>
        <w:t>第四章　　金融機構外匯業務管理</w:t>
      </w:r>
    </w:p>
    <w:p w14:paraId="5BCEFF76"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第24條</w:t>
      </w:r>
    </w:p>
    <w:p w14:paraId="2F2B3E4A"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金融機構經營或者終止經營結匯、售匯業務，應當經外匯管理機關批准；經營或者終止經營其他外匯業務，應當按照職責分工經外匯管理機關或者金融業監督管理機構批准。</w:t>
      </w:r>
    </w:p>
    <w:p w14:paraId="2901705B"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第25條</w:t>
      </w:r>
    </w:p>
    <w:p w14:paraId="374013DF"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外匯管理機關對金融機構外匯業務實行綜合頭寸管理，具體辦法由國務院外匯管理部門制定。</w:t>
      </w:r>
    </w:p>
    <w:p w14:paraId="3047306C"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第26條</w:t>
      </w:r>
    </w:p>
    <w:p w14:paraId="361973FB"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金融機構的資本金、利潤以及因本外幣資產不匹配需要進行人民幣與外幣間轉換的，應當經外匯管理機關批准。</w:t>
      </w:r>
    </w:p>
    <w:p w14:paraId="0983285F" w14:textId="6B1A672B"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w:t>
      </w:r>
      <w:r w:rsidRPr="00673A1A">
        <w:rPr>
          <w:rFonts w:ascii="微軟正黑體" w:eastAsia="微軟正黑體" w:hAnsi="微軟正黑體" w:hint="eastAsia"/>
          <w:color w:val="808000"/>
          <w:sz w:val="18"/>
        </w:rPr>
        <w:t xml:space="preserve">　　　　　　　　　　　　　　　　　　　　　　　　　　　　　　　　　　　　　　　　　　　　　</w:t>
      </w:r>
      <w:hyperlink w:anchor="bbb" w:history="1">
        <w:r w:rsidRPr="00673A1A">
          <w:rPr>
            <w:rStyle w:val="a3"/>
            <w:rFonts w:ascii="微軟正黑體" w:eastAsia="微軟正黑體" w:hAnsi="微軟正黑體"/>
            <w:sz w:val="18"/>
          </w:rPr>
          <w:t>回索引</w:t>
        </w:r>
      </w:hyperlink>
      <w:r w:rsidRPr="00673A1A">
        <w:rPr>
          <w:rFonts w:ascii="微軟正黑體" w:eastAsia="微軟正黑體" w:hAnsi="微軟正黑體" w:hint="eastAsia"/>
          <w:color w:val="808000"/>
          <w:sz w:val="18"/>
        </w:rPr>
        <w:t>〉〉</w:t>
      </w:r>
    </w:p>
    <w:p w14:paraId="07B0833B" w14:textId="77777777" w:rsidR="00673A1A" w:rsidRPr="00673A1A" w:rsidRDefault="00673A1A" w:rsidP="00673A1A">
      <w:pPr>
        <w:pStyle w:val="1"/>
        <w:rPr>
          <w:rFonts w:ascii="微軟正黑體" w:eastAsia="微軟正黑體" w:hAnsi="微軟正黑體" w:hint="eastAsia"/>
        </w:rPr>
      </w:pPr>
      <w:bookmarkStart w:id="11" w:name="_第五章__人民幣匯率和外匯市場管理"/>
      <w:bookmarkEnd w:id="11"/>
      <w:r w:rsidRPr="00673A1A">
        <w:rPr>
          <w:rFonts w:ascii="微軟正黑體" w:eastAsia="微軟正黑體" w:hAnsi="微軟正黑體" w:hint="eastAsia"/>
        </w:rPr>
        <w:t>第五章　　人民幣匯率和外匯市場管理</w:t>
      </w:r>
    </w:p>
    <w:p w14:paraId="19A72330"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第27條</w:t>
      </w:r>
    </w:p>
    <w:p w14:paraId="3BFD971E"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人民幣匯率實行以市場供求為基礎的、有管理的浮動匯率制度。</w:t>
      </w:r>
    </w:p>
    <w:p w14:paraId="0A9B39F6" w14:textId="77777777" w:rsidR="00673A1A" w:rsidRPr="00673A1A" w:rsidRDefault="00673A1A" w:rsidP="00673A1A">
      <w:pPr>
        <w:keepNext/>
        <w:adjustRightInd w:val="0"/>
        <w:snapToGrid w:val="0"/>
        <w:spacing w:beforeLines="30" w:before="108" w:afterLines="30" w:after="108"/>
        <w:outlineLvl w:val="1"/>
        <w:rPr>
          <w:rFonts w:ascii="微軟正黑體" w:eastAsia="微軟正黑體" w:hAnsi="微軟正黑體" w:hint="eastAsia"/>
          <w:b/>
          <w:color w:val="990000"/>
        </w:rPr>
      </w:pPr>
      <w:r w:rsidRPr="00673A1A">
        <w:rPr>
          <w:rFonts w:ascii="微軟正黑體" w:eastAsia="微軟正黑體" w:hAnsi="微軟正黑體" w:hint="eastAsia"/>
          <w:b/>
          <w:color w:val="990000"/>
        </w:rPr>
        <w:t>第</w:t>
      </w:r>
      <w:r w:rsidRPr="00673A1A">
        <w:rPr>
          <w:rFonts w:ascii="微軟正黑體" w:eastAsia="微軟正黑體" w:hAnsi="微軟正黑體" w:cs="Arial Unicode MS" w:hint="eastAsia"/>
          <w:b/>
          <w:bCs/>
          <w:color w:val="990000"/>
          <w:szCs w:val="48"/>
        </w:rPr>
        <w:t>28</w:t>
      </w:r>
      <w:r w:rsidRPr="00673A1A">
        <w:rPr>
          <w:rFonts w:ascii="微軟正黑體" w:eastAsia="微軟正黑體" w:hAnsi="微軟正黑體" w:hint="eastAsia"/>
          <w:b/>
          <w:color w:val="990000"/>
        </w:rPr>
        <w:t>條</w:t>
      </w:r>
    </w:p>
    <w:p w14:paraId="000B409A"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經營結匯、售匯業務的金融機構和符合國務院外匯管理部門規定條件的其他機構，可以按照國務院外匯管理部門的規定在銀行間外匯市場進行外匯交易。</w:t>
      </w:r>
    </w:p>
    <w:p w14:paraId="4ABA0A3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第29條</w:t>
      </w:r>
    </w:p>
    <w:p w14:paraId="5E25E71F"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外匯市場交易應當遵循公開、公平、公正和誠實信用的原則。</w:t>
      </w:r>
    </w:p>
    <w:p w14:paraId="6F207842"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lastRenderedPageBreak/>
        <w:t>第30條</w:t>
      </w:r>
    </w:p>
    <w:p w14:paraId="4BB280A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外匯市場交易的幣種和形式由國務院外匯管理部門規定。</w:t>
      </w:r>
    </w:p>
    <w:p w14:paraId="19FF3AB3"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第31條</w:t>
      </w:r>
    </w:p>
    <w:p w14:paraId="6F7BB44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國務院外匯管理部門依法監督管理全國的外匯市場。</w:t>
      </w:r>
    </w:p>
    <w:p w14:paraId="77C0CE8D"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第32條</w:t>
      </w:r>
    </w:p>
    <w:p w14:paraId="3AC0FCAC"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國務院外匯管理部門可以根據外匯市場的變化和貨幣政策的要求，依法對外匯市場進行調節。</w:t>
      </w:r>
    </w:p>
    <w:p w14:paraId="18AA194B" w14:textId="6EF4BA0E"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w:t>
      </w:r>
      <w:r w:rsidRPr="00673A1A">
        <w:rPr>
          <w:rFonts w:ascii="微軟正黑體" w:eastAsia="微軟正黑體" w:hAnsi="微軟正黑體" w:hint="eastAsia"/>
          <w:color w:val="808000"/>
          <w:sz w:val="18"/>
        </w:rPr>
        <w:t xml:space="preserve">　　　　　　　　　　　　　　　　　　　　　　　　　　　　　　　　　　　　　　　　　　　　　</w:t>
      </w:r>
      <w:hyperlink w:anchor="bbb" w:history="1">
        <w:r w:rsidRPr="00673A1A">
          <w:rPr>
            <w:rStyle w:val="a3"/>
            <w:rFonts w:ascii="微軟正黑體" w:eastAsia="微軟正黑體" w:hAnsi="微軟正黑體"/>
            <w:sz w:val="18"/>
          </w:rPr>
          <w:t>回索引</w:t>
        </w:r>
      </w:hyperlink>
      <w:r w:rsidRPr="00673A1A">
        <w:rPr>
          <w:rFonts w:ascii="微軟正黑體" w:eastAsia="微軟正黑體" w:hAnsi="微軟正黑體" w:hint="eastAsia"/>
          <w:color w:val="808000"/>
          <w:sz w:val="18"/>
        </w:rPr>
        <w:t>〉〉</w:t>
      </w:r>
    </w:p>
    <w:p w14:paraId="50991EAC" w14:textId="77777777" w:rsidR="00673A1A" w:rsidRPr="00673A1A" w:rsidRDefault="00673A1A" w:rsidP="00673A1A">
      <w:pPr>
        <w:pStyle w:val="1"/>
        <w:rPr>
          <w:rFonts w:ascii="微軟正黑體" w:eastAsia="微軟正黑體" w:hAnsi="微軟正黑體" w:hint="eastAsia"/>
        </w:rPr>
      </w:pPr>
      <w:bookmarkStart w:id="12" w:name="_第六章__監督管理"/>
      <w:bookmarkEnd w:id="12"/>
      <w:r w:rsidRPr="00673A1A">
        <w:rPr>
          <w:rFonts w:ascii="微軟正黑體" w:eastAsia="微軟正黑體" w:hAnsi="微軟正黑體" w:hint="eastAsia"/>
        </w:rPr>
        <w:t>第六章　　監督管理</w:t>
      </w:r>
    </w:p>
    <w:p w14:paraId="1D3A90D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第33條</w:t>
      </w:r>
    </w:p>
    <w:p w14:paraId="6AD25DB7"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外匯管理機關依法履行職責，有權採取下列措施：</w:t>
      </w:r>
    </w:p>
    <w:p w14:paraId="236233B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（一）對經營外匯業務的金融機構進行現場檢查；</w:t>
      </w:r>
    </w:p>
    <w:p w14:paraId="09678FB0"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（二）進入涉嫌外匯違法行為發生場所調查取證；</w:t>
      </w:r>
    </w:p>
    <w:p w14:paraId="650004F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（三）詢問有外匯收支或者外匯經營活動的機構和個人，要求其對與被調查外匯違法事件直接有關的事項作出說明；</w:t>
      </w:r>
    </w:p>
    <w:p w14:paraId="4CCC44A3"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（四）查閱、複製與被調查外匯違法事件直接有關的交易單證等資料；</w:t>
      </w:r>
    </w:p>
    <w:p w14:paraId="5371FC2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（五）查閱、複製被調查外匯違法事件的當事人和直接有關的單位、個人的財務會計資料及相關文件，對可能被轉移、隱匿或者毀損的文件和資料，可以予以封存；</w:t>
      </w:r>
    </w:p>
    <w:p w14:paraId="56E437D1"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（六）經國務院外匯管理部門或者省級外匯管理機關負責人批准，查詢被調查外匯違法事件的當事人和直接有關的單位、個人的賬戶，但個人儲蓄存款賬戶除外；</w:t>
      </w:r>
    </w:p>
    <w:p w14:paraId="0C3E353B"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（七）對有證據證明已經或者可能轉移、隱匿違法資金等涉案財產或者隱匿、偽造、毀損重要證據的，可以申請人民法院凍結或者查封。</w:t>
      </w:r>
    </w:p>
    <w:p w14:paraId="498CC5EA"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有關單位和個人應當配合外匯管理機關的監督檢查，如實說明有關情況並提供有關文件、資料，不得拒絕、阻礙和隱瞞。</w:t>
      </w:r>
    </w:p>
    <w:p w14:paraId="389185AA"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第34條</w:t>
      </w:r>
    </w:p>
    <w:p w14:paraId="41C19490"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外匯管理機關依法進行監督檢查或者調查，監督檢查或者調查的人員不得少於2人，並應當出示證件。監督檢查、調查的人員少於2人或者未出示證件的，被監督檢查、調查的單位和個人有權拒絕。</w:t>
      </w:r>
    </w:p>
    <w:p w14:paraId="3A6D2EEE"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第35條</w:t>
      </w:r>
    </w:p>
    <w:p w14:paraId="09AE3968"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有外匯經營活動的境內機構，應當按照國務院外匯管理部門的規定報送財務會計報告、統計報表等資料。</w:t>
      </w:r>
    </w:p>
    <w:p w14:paraId="7BDCEF3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第36條</w:t>
      </w:r>
    </w:p>
    <w:p w14:paraId="65D135A4"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經營外匯業務的金融機構發現客戶有外匯違法行為的，應當及時向外匯管理機關報告。</w:t>
      </w:r>
    </w:p>
    <w:p w14:paraId="2603C4BF"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第37條</w:t>
      </w:r>
    </w:p>
    <w:p w14:paraId="799FAA00"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國務院外匯管理部門為履行外匯管理職責，可以從國務院有關部門、機構獲取所必需的資訊，國務院有關部門、機構應當提供。</w:t>
      </w:r>
    </w:p>
    <w:p w14:paraId="7D49C14D"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國務院外匯管理部門應當向國務院有關部門、機構通報外匯管理工作情況。</w:t>
      </w:r>
    </w:p>
    <w:p w14:paraId="1189983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lastRenderedPageBreak/>
        <w:t>第38條</w:t>
      </w:r>
    </w:p>
    <w:p w14:paraId="66A054F5"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任何單位和個人都有權舉報外匯違法行為。</w:t>
      </w:r>
    </w:p>
    <w:p w14:paraId="2FE82DF2"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外匯管理機關應當為舉報人保密，並按照規定對舉報人或者協助查處外匯違法行為有功的單位和個人給予獎勵。</w:t>
      </w:r>
    </w:p>
    <w:p w14:paraId="793768D0" w14:textId="3D929868"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17365D"/>
        </w:rPr>
        <w:t xml:space="preserve">　　　　</w:t>
      </w:r>
      <w:r w:rsidRPr="00673A1A">
        <w:rPr>
          <w:rFonts w:ascii="微軟正黑體" w:eastAsia="微軟正黑體" w:hAnsi="微軟正黑體" w:hint="eastAsia"/>
          <w:color w:val="808000"/>
          <w:sz w:val="18"/>
        </w:rPr>
        <w:t xml:space="preserve">　　　　　　　　　　　　　　　　　　　　　　　　　　　　　　　　　　　　　　　　　　　　　</w:t>
      </w:r>
      <w:hyperlink w:anchor="bbb" w:history="1">
        <w:r w:rsidRPr="00673A1A">
          <w:rPr>
            <w:rStyle w:val="a3"/>
            <w:rFonts w:ascii="微軟正黑體" w:eastAsia="微軟正黑體" w:hAnsi="微軟正黑體"/>
            <w:sz w:val="18"/>
          </w:rPr>
          <w:t>回索引</w:t>
        </w:r>
      </w:hyperlink>
      <w:r w:rsidRPr="00673A1A">
        <w:rPr>
          <w:rFonts w:ascii="微軟正黑體" w:eastAsia="微軟正黑體" w:hAnsi="微軟正黑體" w:hint="eastAsia"/>
          <w:color w:val="808000"/>
          <w:sz w:val="18"/>
        </w:rPr>
        <w:t>〉〉</w:t>
      </w:r>
    </w:p>
    <w:p w14:paraId="5DBCF3D7" w14:textId="77777777" w:rsidR="00673A1A" w:rsidRPr="00673A1A" w:rsidRDefault="00673A1A" w:rsidP="00673A1A">
      <w:pPr>
        <w:pStyle w:val="1"/>
        <w:rPr>
          <w:rFonts w:ascii="微軟正黑體" w:eastAsia="微軟正黑體" w:hAnsi="微軟正黑體" w:hint="eastAsia"/>
        </w:rPr>
      </w:pPr>
      <w:bookmarkStart w:id="13" w:name="_第七章__法律責任"/>
      <w:bookmarkEnd w:id="13"/>
      <w:r w:rsidRPr="00673A1A">
        <w:rPr>
          <w:rFonts w:ascii="微軟正黑體" w:eastAsia="微軟正黑體" w:hAnsi="微軟正黑體" w:hint="eastAsia"/>
        </w:rPr>
        <w:t>第七章　　法律責任</w:t>
      </w:r>
    </w:p>
    <w:p w14:paraId="34E357BF"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第39條</w:t>
      </w:r>
    </w:p>
    <w:p w14:paraId="10AA0FA9"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有違反規定將境內外匯轉移境外，或者以欺騙手段將境內資本轉移境外等逃匯行為的，由外匯管理機關責令限期調回外匯，處逃匯金額30%以下的罰款；情節嚴重的，處逃匯金額30%以上等值以下的罰款；構成犯罪的，依法追究刑事責任。</w:t>
      </w:r>
    </w:p>
    <w:p w14:paraId="67276EA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第40條</w:t>
      </w:r>
    </w:p>
    <w:p w14:paraId="6ECC0514"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有違反規定以外匯收付應當以人民幣收付的款項，或者以虛假、無效的交易單證等向經營結匯、售匯業務的金融機構騙購外匯等非法套匯行為的，由外匯管理機關責令對非法套匯資金予以回兌，處非法套匯金額30%以下的罰款；情節嚴重的，處非法套匯金額30%以上等值以下的罰款；構成犯罪的，依法追究刑事責任。</w:t>
      </w:r>
    </w:p>
    <w:p w14:paraId="23EBD45E"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第41條</w:t>
      </w:r>
    </w:p>
    <w:p w14:paraId="293ED69E"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違反規定將外匯匯入境內的，由外匯管理機關責令改正，處違法金額30%以下的罰款；情節嚴重的，處違法金額30%以上等值以下的罰款。</w:t>
      </w:r>
    </w:p>
    <w:p w14:paraId="6ABC3547"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非法結匯的，由外匯管理機關責令對非法結匯資金予以回兌，處違法金額30%以下的罰款。</w:t>
      </w:r>
    </w:p>
    <w:p w14:paraId="5154C26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第42條</w:t>
      </w:r>
    </w:p>
    <w:p w14:paraId="3BB1D80F"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違反規定攜帶外匯出入境的，由外匯管理機關給予警告，可以處違法金額20%以下的罰款。法律、行政法規規定由海關予以處罰的，從其規定。</w:t>
      </w:r>
    </w:p>
    <w:p w14:paraId="30BA829B"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第43條</w:t>
      </w:r>
    </w:p>
    <w:p w14:paraId="7E312EE6"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有擅自對外借款、在境外發行債券或者提供對外擔保等違反外債管理行為的，由外匯管理機關給予警告，處違法金額30%以下的罰款。</w:t>
      </w:r>
    </w:p>
    <w:p w14:paraId="3FE12F68"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第44條</w:t>
      </w:r>
    </w:p>
    <w:p w14:paraId="3CE47A61"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違反規定，擅自改變外匯或者結匯資金用途的，由外匯管理機關責令改正，沒收違法所得，處違法金額30%以下的罰款；情節嚴重的，處違法金額30%以上等值以下的罰款。</w:t>
      </w:r>
    </w:p>
    <w:p w14:paraId="2437ADA9"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有違反規定以外幣在境內計價結算或者劃轉外匯等非法使用外匯行為的，由外匯管理機關責令改正，給予警告，可以處違法金額30%以下的罰款。</w:t>
      </w:r>
    </w:p>
    <w:p w14:paraId="070DFEBF"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第45條</w:t>
      </w:r>
    </w:p>
    <w:p w14:paraId="3EF28A67"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私自買賣外匯、變相買賣外匯、倒買倒賣外匯或者非法介紹買賣外匯數額較大的，由外匯管理機關給予警告，沒收違法所得，處違法金額30%以下的罰款；情節嚴重的，處違法金額30%以上等值以下的罰款；構成犯罪的，依法追究刑事責任。</w:t>
      </w:r>
    </w:p>
    <w:p w14:paraId="79B460EA"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lastRenderedPageBreak/>
        <w:t>第46條</w:t>
      </w:r>
    </w:p>
    <w:p w14:paraId="17F6E680"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未經批准擅自經營結匯、售匯業務的，由外匯管理機關責令改正，有違法所得的，沒收違法所得，違法所得50萬元以上的，並處違法所得1倍以上5倍以下的罰款；沒有違法所得或者違法所得不足50萬元的，處50萬元以上200萬元以下的罰款；情節嚴重的，由有關主管部門責令停業整頓或者吊銷業務許可證；構成犯罪的，依法追究刑事責任。</w:t>
      </w:r>
    </w:p>
    <w:p w14:paraId="75F568C8" w14:textId="77777777" w:rsidR="00673A1A" w:rsidRPr="00673A1A" w:rsidRDefault="00673A1A" w:rsidP="00673A1A">
      <w:pPr>
        <w:ind w:left="142"/>
        <w:jc w:val="both"/>
        <w:rPr>
          <w:rFonts w:ascii="微軟正黑體" w:eastAsia="微軟正黑體" w:hAnsi="微軟正黑體" w:hint="eastAsia"/>
          <w:color w:val="17365D"/>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2</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color w:val="17365D"/>
        </w:rPr>
        <w:t>未經批准經營結匯、售匯業務以外的其他外匯業務的，由外匯管理機關或者金融業監督管理機構依照前款規定予以處罰。</w:t>
      </w:r>
    </w:p>
    <w:p w14:paraId="62C1A7E8"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第47條</w:t>
      </w:r>
    </w:p>
    <w:p w14:paraId="3A5354CF"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金融機構有下列情形之一的，由外匯管理機關責令限期改正，沒收違法所得，並處20萬元以上100萬元以下的罰款；情節嚴重或者逾期不改正的，由外匯管理機關責令停止經營相關業務：</w:t>
      </w:r>
    </w:p>
    <w:p w14:paraId="29E967C3"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（一）辦理經常項目資金收付，未對交易單證的真實性及其與外匯收支的一致性進行合理審查的；</w:t>
      </w:r>
    </w:p>
    <w:p w14:paraId="7A3E6027"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（二）違反規定辦理資本項目資金收付的；</w:t>
      </w:r>
    </w:p>
    <w:p w14:paraId="45FBC0D6"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（三）違反規定辦理結匯、售匯業務的；</w:t>
      </w:r>
    </w:p>
    <w:p w14:paraId="6621B791"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（四）違反外匯業務綜合頭寸管理的；</w:t>
      </w:r>
    </w:p>
    <w:p w14:paraId="368C301C"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（五）違反外匯市場交易管理的。</w:t>
      </w:r>
    </w:p>
    <w:p w14:paraId="3B1E745E"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第48條</w:t>
      </w:r>
    </w:p>
    <w:p w14:paraId="1A631DF5"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有下列情形之一的，由外匯管理機關責令改正，給予警告，對機構可以處30萬元以下的罰款，對個人可以處5萬元以下的罰款：</w:t>
      </w:r>
    </w:p>
    <w:p w14:paraId="6780F161"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（一）未按照規定進行國際收支統計申報的；</w:t>
      </w:r>
    </w:p>
    <w:p w14:paraId="58B90AFA"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（二）未按照規定報送財務會計報告、統計報表等資料的；</w:t>
      </w:r>
    </w:p>
    <w:p w14:paraId="4DE6F282"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（三）未按照規定提交有效單證或者提交的單證不真實的；</w:t>
      </w:r>
    </w:p>
    <w:p w14:paraId="2FF24F54"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（四）違反外匯賬戶管理規定的；</w:t>
      </w:r>
    </w:p>
    <w:p w14:paraId="7DDA04C8"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（五）違反外匯登記管理規定的；</w:t>
      </w:r>
    </w:p>
    <w:p w14:paraId="2FF6607F"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（六）拒絕、阻礙外匯管理機關依法進行監督檢查或者調查的。</w:t>
      </w:r>
    </w:p>
    <w:p w14:paraId="19E0BB16"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第49條</w:t>
      </w:r>
    </w:p>
    <w:p w14:paraId="5D75F163"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境內機構違反外匯管理規定的，除依照本條例給予處罰外，對直接負責的主管人員和其他直接責任人員，應當給予處分；對金融機構負有直接責任的董事、監事、高級管理人員和其他直接責任人員給予警告，處5萬元以上50萬元以下的罰款；構成犯罪的，依法追究刑事責任。</w:t>
      </w:r>
    </w:p>
    <w:p w14:paraId="10BA5E3A"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第50條</w:t>
      </w:r>
    </w:p>
    <w:p w14:paraId="58BD82D4"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外匯管理機關工作人員徇私舞弊、濫用職權、玩忽職守，構成犯罪的，依法追究刑事責任；尚不構成犯罪的，依法給予處分。</w:t>
      </w:r>
    </w:p>
    <w:p w14:paraId="7950DBD9"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第51條</w:t>
      </w:r>
    </w:p>
    <w:p w14:paraId="2E0F160F"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當事人對外匯管理機關作出的具體行政行為不服的，可以依法申請行政復議；對行政復議決定仍不服的，可以依法向人民法院提起行政訴訟。</w:t>
      </w:r>
    </w:p>
    <w:p w14:paraId="13CE0B9A" w14:textId="3BEDA838"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w:t>
      </w:r>
      <w:r w:rsidRPr="00673A1A">
        <w:rPr>
          <w:rFonts w:ascii="微軟正黑體" w:eastAsia="微軟正黑體" w:hAnsi="微軟正黑體" w:hint="eastAsia"/>
          <w:color w:val="808000"/>
          <w:sz w:val="18"/>
        </w:rPr>
        <w:t xml:space="preserve">　　　　　　　　　　　　　　　　　　　　　　　　　　　　　　　　　　　　　　　　　　　　　</w:t>
      </w:r>
      <w:hyperlink w:anchor="bbb" w:history="1">
        <w:r w:rsidRPr="00673A1A">
          <w:rPr>
            <w:rStyle w:val="a3"/>
            <w:rFonts w:ascii="微軟正黑體" w:eastAsia="微軟正黑體" w:hAnsi="微軟正黑體"/>
            <w:sz w:val="18"/>
          </w:rPr>
          <w:t>回索引</w:t>
        </w:r>
      </w:hyperlink>
      <w:r w:rsidRPr="00673A1A">
        <w:rPr>
          <w:rFonts w:ascii="微軟正黑體" w:eastAsia="微軟正黑體" w:hAnsi="微軟正黑體" w:hint="eastAsia"/>
          <w:color w:val="808000"/>
          <w:sz w:val="18"/>
        </w:rPr>
        <w:t>〉〉</w:t>
      </w:r>
    </w:p>
    <w:p w14:paraId="629FD7BA" w14:textId="77777777" w:rsidR="00673A1A" w:rsidRPr="00673A1A" w:rsidRDefault="00673A1A" w:rsidP="00673A1A">
      <w:pPr>
        <w:pStyle w:val="1"/>
        <w:rPr>
          <w:rFonts w:ascii="微軟正黑體" w:eastAsia="微軟正黑體" w:hAnsi="微軟正黑體" w:hint="eastAsia"/>
        </w:rPr>
      </w:pPr>
      <w:bookmarkStart w:id="14" w:name="_第八章__附"/>
      <w:bookmarkEnd w:id="14"/>
      <w:r w:rsidRPr="00673A1A">
        <w:rPr>
          <w:rFonts w:ascii="微軟正黑體" w:eastAsia="微軟正黑體" w:hAnsi="微軟正黑體" w:hint="eastAsia"/>
        </w:rPr>
        <w:lastRenderedPageBreak/>
        <w:t>第八章　　附　則</w:t>
      </w:r>
    </w:p>
    <w:p w14:paraId="2923F109"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第52條</w:t>
      </w:r>
    </w:p>
    <w:p w14:paraId="62E2A069"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本條例下列用語的含義：</w:t>
      </w:r>
    </w:p>
    <w:p w14:paraId="2B30DA8D"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（一）境內機構，是指中華人民共和國境內的國家機關、企業、事業單位、社會團體、部隊等，外國駐華外交領事機構和國際組織駐華代表機構除外。</w:t>
      </w:r>
    </w:p>
    <w:p w14:paraId="0C3D171C"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（二）境內個人，是指中國公民和在中華人民共和國境內連續居住滿1年的外國人，外國駐華外交人員和國際組織駐華代表除外。</w:t>
      </w:r>
    </w:p>
    <w:p w14:paraId="1EAC5661"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（三）經常項目，是指國際收支中涉及貨物、服務、收益及經常轉移的交易項目等。</w:t>
      </w:r>
    </w:p>
    <w:p w14:paraId="547A8C79"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rPr>
        <w:t xml:space="preserve">　　（四）資本項目，是指國際收支中引起對外資產和負債水平發生變化的交易項目，包括資本轉移、直接投資、證券投資、衍生產品及貸款等。</w:t>
      </w:r>
    </w:p>
    <w:p w14:paraId="7C6BD180"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第53條</w:t>
      </w:r>
    </w:p>
    <w:p w14:paraId="4F5109A5" w14:textId="77777777"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非金融機構經營結匯、售匯業務，應當由國務院外匯管理部門批准，具體管理辦法由國務院外匯管理部門另行制定。</w:t>
      </w:r>
    </w:p>
    <w:p w14:paraId="72EBD961" w14:textId="77777777" w:rsidR="00673A1A" w:rsidRPr="00673A1A" w:rsidRDefault="00673A1A" w:rsidP="00673A1A">
      <w:pPr>
        <w:pStyle w:val="2"/>
        <w:rPr>
          <w:rFonts w:ascii="微軟正黑體" w:eastAsia="微軟正黑體" w:hAnsi="微軟正黑體" w:hint="eastAsia"/>
        </w:rPr>
      </w:pPr>
      <w:r w:rsidRPr="00673A1A">
        <w:rPr>
          <w:rFonts w:ascii="微軟正黑體" w:eastAsia="微軟正黑體" w:hAnsi="微軟正黑體" w:hint="eastAsia"/>
        </w:rPr>
        <w:t>第54條</w:t>
      </w:r>
    </w:p>
    <w:p w14:paraId="5CFF414B" w14:textId="253BBA80" w:rsidR="00673A1A" w:rsidRPr="00673A1A" w:rsidRDefault="00673A1A" w:rsidP="00673A1A">
      <w:pPr>
        <w:ind w:left="142"/>
        <w:jc w:val="both"/>
        <w:rPr>
          <w:rFonts w:ascii="微軟正黑體" w:eastAsia="微軟正黑體" w:hAnsi="微軟正黑體" w:hint="eastAsia"/>
        </w:rPr>
      </w:pPr>
      <w:r w:rsidRPr="00673A1A">
        <w:rPr>
          <w:rFonts w:ascii="微軟正黑體" w:eastAsia="微軟正黑體" w:hAnsi="微軟正黑體" w:hint="eastAsia"/>
          <w:color w:val="404040"/>
          <w:sz w:val="16"/>
        </w:rPr>
        <w:t>﹝</w:t>
      </w:r>
      <w:r w:rsidRPr="00673A1A">
        <w:rPr>
          <w:rFonts w:ascii="微軟正黑體" w:eastAsia="微軟正黑體" w:hAnsi="微軟正黑體"/>
          <w:color w:val="404040"/>
          <w:sz w:val="16"/>
        </w:rPr>
        <w:t>1</w:t>
      </w:r>
      <w:r w:rsidRPr="00673A1A">
        <w:rPr>
          <w:rFonts w:ascii="微軟正黑體" w:eastAsia="微軟正黑體" w:hAnsi="微軟正黑體" w:hint="eastAsia"/>
          <w:color w:val="404040"/>
          <w:sz w:val="16"/>
        </w:rPr>
        <w:t>﹞</w:t>
      </w:r>
      <w:r w:rsidRPr="00673A1A">
        <w:rPr>
          <w:rFonts w:ascii="微軟正黑體" w:eastAsia="微軟正黑體" w:hAnsi="微軟正黑體" w:hint="eastAsia"/>
        </w:rPr>
        <w:t>本條例自公</w:t>
      </w:r>
      <w:r w:rsidR="00316FBC">
        <w:rPr>
          <w:rFonts w:ascii="微軟正黑體" w:eastAsia="微軟正黑體" w:hAnsi="微軟正黑體" w:hint="eastAsia"/>
        </w:rPr>
        <w:t>布</w:t>
      </w:r>
      <w:r w:rsidRPr="00673A1A">
        <w:rPr>
          <w:rFonts w:ascii="微軟正黑體" w:eastAsia="微軟正黑體" w:hAnsi="微軟正黑體" w:hint="eastAsia"/>
        </w:rPr>
        <w:t>之日起施行。</w:t>
      </w:r>
    </w:p>
    <w:p w14:paraId="4778B92E" w14:textId="2A20B76A" w:rsidR="00673A1A" w:rsidRDefault="000971E2" w:rsidP="000971E2">
      <w:pPr>
        <w:tabs>
          <w:tab w:val="left" w:pos="1849"/>
        </w:tabs>
        <w:ind w:left="142"/>
        <w:jc w:val="both"/>
        <w:rPr>
          <w:rFonts w:ascii="微軟正黑體" w:eastAsia="微軟正黑體" w:hAnsi="微軟正黑體"/>
        </w:rPr>
      </w:pPr>
      <w:r>
        <w:rPr>
          <w:rFonts w:ascii="微軟正黑體" w:eastAsia="微軟正黑體" w:hAnsi="微軟正黑體"/>
        </w:rPr>
        <w:tab/>
      </w:r>
    </w:p>
    <w:p w14:paraId="4429255D" w14:textId="77777777" w:rsidR="000971E2" w:rsidRPr="00673A1A" w:rsidRDefault="000971E2" w:rsidP="000971E2">
      <w:pPr>
        <w:tabs>
          <w:tab w:val="left" w:pos="1849"/>
        </w:tabs>
        <w:ind w:left="142"/>
        <w:jc w:val="both"/>
        <w:rPr>
          <w:rFonts w:ascii="微軟正黑體" w:eastAsia="微軟正黑體" w:hAnsi="微軟正黑體" w:hint="eastAsia"/>
        </w:rPr>
      </w:pPr>
    </w:p>
    <w:p w14:paraId="689B7457" w14:textId="77777777" w:rsidR="000971E2" w:rsidRPr="00352001" w:rsidRDefault="000971E2" w:rsidP="000971E2">
      <w:pPr>
        <w:ind w:leftChars="50" w:left="100"/>
        <w:jc w:val="both"/>
        <w:rPr>
          <w:rFonts w:ascii="微軟正黑體" w:eastAsia="微軟正黑體" w:hAnsi="微軟正黑體"/>
          <w:color w:val="808000"/>
          <w:szCs w:val="20"/>
        </w:rPr>
      </w:pPr>
      <w:bookmarkStart w:id="15" w:name="_Hlk67442028"/>
      <w:bookmarkStart w:id="16"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0971E2">
        <w:rPr>
          <w:rStyle w:val="a3"/>
          <w:rFonts w:ascii="微軟正黑體" w:eastAsia="微軟正黑體" w:hAnsi="微軟正黑體" w:hint="eastAsia"/>
          <w:sz w:val="18"/>
          <w:u w:val="none"/>
        </w:rPr>
        <w:t>〉〉</w:t>
      </w:r>
    </w:p>
    <w:p w14:paraId="67DC1172" w14:textId="1108A7C1" w:rsidR="00673A1A" w:rsidRPr="000971E2" w:rsidRDefault="000971E2" w:rsidP="000971E2">
      <w:pPr>
        <w:jc w:val="both"/>
        <w:rPr>
          <w:rFonts w:ascii="微軟正黑體" w:eastAsia="微軟正黑體" w:hAnsi="微軟正黑體" w:hint="eastAsia"/>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15"/>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16"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16"/>
    </w:p>
    <w:sectPr w:rsidR="00673A1A" w:rsidRPr="000971E2">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3590" w14:textId="77777777" w:rsidR="00B73CD5" w:rsidRDefault="00B73CD5">
      <w:r>
        <w:separator/>
      </w:r>
    </w:p>
  </w:endnote>
  <w:endnote w:type="continuationSeparator" w:id="0">
    <w:p w14:paraId="0E833BFF" w14:textId="77777777" w:rsidR="00B73CD5" w:rsidRDefault="00B7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EA35" w14:textId="77777777" w:rsidR="00C1064D" w:rsidRDefault="00C1064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B0D974" w14:textId="77777777" w:rsidR="00C1064D" w:rsidRDefault="00C1064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8CC0" w14:textId="77777777" w:rsidR="00C1064D" w:rsidRDefault="00C1064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177E2">
      <w:rPr>
        <w:rStyle w:val="a7"/>
        <w:noProof/>
      </w:rPr>
      <w:t>1</w:t>
    </w:r>
    <w:r>
      <w:rPr>
        <w:rStyle w:val="a7"/>
      </w:rPr>
      <w:fldChar w:fldCharType="end"/>
    </w:r>
  </w:p>
  <w:p w14:paraId="7ED68E64" w14:textId="40F50005" w:rsidR="00C1064D" w:rsidRPr="00AD6006" w:rsidRDefault="009918F0" w:rsidP="00F52ECA">
    <w:pPr>
      <w:pStyle w:val="a6"/>
      <w:ind w:right="360"/>
      <w:jc w:val="right"/>
      <w:rPr>
        <w:rFonts w:ascii="Arial Unicode MS" w:hAnsi="Arial Unicode MS"/>
      </w:rPr>
    </w:pPr>
    <w:r>
      <w:rPr>
        <w:rFonts w:ascii="Arial Unicode MS" w:hAnsi="Arial Unicode MS"/>
        <w:sz w:val="18"/>
        <w:szCs w:val="18"/>
      </w:rPr>
      <w:t>〈〈</w:t>
    </w:r>
    <w:r w:rsidR="00C1064D" w:rsidRPr="00AD6006">
      <w:rPr>
        <w:rFonts w:ascii="Arial Unicode MS" w:hAnsi="Arial Unicode MS" w:hint="eastAsia"/>
        <w:sz w:val="18"/>
        <w:szCs w:val="18"/>
      </w:rPr>
      <w:t>中華人民共和國外匯管理條例</w:t>
    </w:r>
    <w:r>
      <w:rPr>
        <w:rFonts w:ascii="Arial Unicode MS" w:hAnsi="Arial Unicode MS"/>
        <w:sz w:val="18"/>
        <w:szCs w:val="18"/>
      </w:rPr>
      <w:t>〉〉</w:t>
    </w:r>
    <w:r w:rsidR="00C1064D" w:rsidRPr="00AD6006">
      <w:rPr>
        <w:rFonts w:ascii="Arial Unicode MS" w:hAnsi="Arial Unicode MS"/>
        <w:sz w:val="18"/>
        <w:szCs w:val="18"/>
      </w:rPr>
      <w:t xml:space="preserve">S-link </w:t>
    </w:r>
    <w:r w:rsidR="00C1064D" w:rsidRPr="00AD6006">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10BE" w14:textId="77777777" w:rsidR="00B73CD5" w:rsidRDefault="00B73CD5">
      <w:r>
        <w:separator/>
      </w:r>
    </w:p>
  </w:footnote>
  <w:footnote w:type="continuationSeparator" w:id="0">
    <w:p w14:paraId="68A007A1" w14:textId="77777777" w:rsidR="00B73CD5" w:rsidRDefault="00B73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4E7E"/>
    <w:rsid w:val="00030ABD"/>
    <w:rsid w:val="000364E4"/>
    <w:rsid w:val="00083C6D"/>
    <w:rsid w:val="000971E2"/>
    <w:rsid w:val="00182BDD"/>
    <w:rsid w:val="00187906"/>
    <w:rsid w:val="001D142D"/>
    <w:rsid w:val="001D4888"/>
    <w:rsid w:val="001F2F3F"/>
    <w:rsid w:val="001F4F28"/>
    <w:rsid w:val="001F7090"/>
    <w:rsid w:val="002050F1"/>
    <w:rsid w:val="00205A43"/>
    <w:rsid w:val="002177E2"/>
    <w:rsid w:val="00223C7B"/>
    <w:rsid w:val="00244587"/>
    <w:rsid w:val="002A00C9"/>
    <w:rsid w:val="002F4AD0"/>
    <w:rsid w:val="002F7A36"/>
    <w:rsid w:val="00316FBC"/>
    <w:rsid w:val="003426F7"/>
    <w:rsid w:val="00353FDB"/>
    <w:rsid w:val="00367403"/>
    <w:rsid w:val="0037756C"/>
    <w:rsid w:val="003B2D0F"/>
    <w:rsid w:val="003B3EF4"/>
    <w:rsid w:val="003F1284"/>
    <w:rsid w:val="00400024"/>
    <w:rsid w:val="00442638"/>
    <w:rsid w:val="004438D6"/>
    <w:rsid w:val="0047279D"/>
    <w:rsid w:val="005207F0"/>
    <w:rsid w:val="0052422B"/>
    <w:rsid w:val="00527C74"/>
    <w:rsid w:val="005776BD"/>
    <w:rsid w:val="00593D8B"/>
    <w:rsid w:val="00594064"/>
    <w:rsid w:val="005B507D"/>
    <w:rsid w:val="005C7989"/>
    <w:rsid w:val="005E25C6"/>
    <w:rsid w:val="005E3418"/>
    <w:rsid w:val="005F552F"/>
    <w:rsid w:val="00616D8B"/>
    <w:rsid w:val="00647493"/>
    <w:rsid w:val="00673A1A"/>
    <w:rsid w:val="006918FA"/>
    <w:rsid w:val="00693C7C"/>
    <w:rsid w:val="006F39F6"/>
    <w:rsid w:val="00777883"/>
    <w:rsid w:val="007B5C7C"/>
    <w:rsid w:val="008071A3"/>
    <w:rsid w:val="00812A8F"/>
    <w:rsid w:val="008266DA"/>
    <w:rsid w:val="008A5DEE"/>
    <w:rsid w:val="008A630D"/>
    <w:rsid w:val="008B737C"/>
    <w:rsid w:val="008C21B0"/>
    <w:rsid w:val="008E6055"/>
    <w:rsid w:val="008E6265"/>
    <w:rsid w:val="008F5B52"/>
    <w:rsid w:val="009005E4"/>
    <w:rsid w:val="00965321"/>
    <w:rsid w:val="00973832"/>
    <w:rsid w:val="00984DE9"/>
    <w:rsid w:val="00985E9B"/>
    <w:rsid w:val="009918F0"/>
    <w:rsid w:val="00A02E1D"/>
    <w:rsid w:val="00A268F3"/>
    <w:rsid w:val="00A34752"/>
    <w:rsid w:val="00A829AF"/>
    <w:rsid w:val="00AB6259"/>
    <w:rsid w:val="00AD6006"/>
    <w:rsid w:val="00AE4FEB"/>
    <w:rsid w:val="00B73CD5"/>
    <w:rsid w:val="00B86C53"/>
    <w:rsid w:val="00C102CC"/>
    <w:rsid w:val="00C1064D"/>
    <w:rsid w:val="00C1495C"/>
    <w:rsid w:val="00C55973"/>
    <w:rsid w:val="00CA4A3C"/>
    <w:rsid w:val="00CF4851"/>
    <w:rsid w:val="00D51F19"/>
    <w:rsid w:val="00DC1B3C"/>
    <w:rsid w:val="00DE0720"/>
    <w:rsid w:val="00DE3CAA"/>
    <w:rsid w:val="00E1264B"/>
    <w:rsid w:val="00E67B0E"/>
    <w:rsid w:val="00EB2515"/>
    <w:rsid w:val="00ED0C91"/>
    <w:rsid w:val="00ED10A6"/>
    <w:rsid w:val="00EE3EA9"/>
    <w:rsid w:val="00F13B29"/>
    <w:rsid w:val="00F3074E"/>
    <w:rsid w:val="00F52553"/>
    <w:rsid w:val="00F527A2"/>
    <w:rsid w:val="00F52ECA"/>
    <w:rsid w:val="00FB0058"/>
    <w:rsid w:val="00FE1B5B"/>
    <w:rsid w:val="00FE6E6F"/>
    <w:rsid w:val="00FF2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1B29E3"/>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8E605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1F2F3F"/>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E1264B"/>
    <w:rPr>
      <w:rFonts w:ascii="新細明體" w:hAnsi="新細明體"/>
      <w:szCs w:val="18"/>
    </w:rPr>
  </w:style>
  <w:style w:type="character" w:customStyle="1" w:styleId="a9">
    <w:name w:val="文件引導模式 字元"/>
    <w:link w:val="a8"/>
    <w:rsid w:val="00E1264B"/>
    <w:rPr>
      <w:rFonts w:ascii="新細明體" w:hAnsi="新細明體"/>
      <w:kern w:val="2"/>
      <w:szCs w:val="18"/>
    </w:rPr>
  </w:style>
  <w:style w:type="character" w:customStyle="1" w:styleId="20">
    <w:name w:val="標題 2 字元"/>
    <w:link w:val="2"/>
    <w:rsid w:val="001F2F3F"/>
    <w:rPr>
      <w:rFonts w:ascii="Arial Unicode MS" w:hAnsi="Arial Unicode MS" w:cs="Arial Unicode MS"/>
      <w:b/>
      <w:bCs/>
      <w:color w:val="990000"/>
      <w:kern w:val="2"/>
      <w:szCs w:val="48"/>
    </w:rPr>
  </w:style>
  <w:style w:type="character" w:styleId="aa">
    <w:name w:val="Unresolved Mention"/>
    <w:uiPriority w:val="99"/>
    <w:semiHidden/>
    <w:unhideWhenUsed/>
    <w:rsid w:val="009918F0"/>
    <w:rPr>
      <w:color w:val="605E5C"/>
      <w:shd w:val="clear" w:color="auto" w:fill="E1DFDD"/>
    </w:rPr>
  </w:style>
  <w:style w:type="character" w:customStyle="1" w:styleId="10">
    <w:name w:val="標題 1 字元"/>
    <w:link w:val="1"/>
    <w:rsid w:val="00673A1A"/>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5603">
      <w:bodyDiv w:val="1"/>
      <w:marLeft w:val="0"/>
      <w:marRight w:val="0"/>
      <w:marTop w:val="0"/>
      <w:marBottom w:val="0"/>
      <w:divBdr>
        <w:top w:val="none" w:sz="0" w:space="0" w:color="auto"/>
        <w:left w:val="none" w:sz="0" w:space="0" w:color="auto"/>
        <w:bottom w:val="none" w:sz="0" w:space="0" w:color="auto"/>
        <w:right w:val="none" w:sz="0" w:space="0" w:color="auto"/>
      </w:divBdr>
    </w:div>
    <w:div w:id="432625859">
      <w:bodyDiv w:val="1"/>
      <w:marLeft w:val="0"/>
      <w:marRight w:val="0"/>
      <w:marTop w:val="0"/>
      <w:marBottom w:val="0"/>
      <w:divBdr>
        <w:top w:val="none" w:sz="0" w:space="0" w:color="auto"/>
        <w:left w:val="none" w:sz="0" w:space="0" w:color="auto"/>
        <w:bottom w:val="none" w:sz="0" w:space="0" w:color="auto"/>
        <w:right w:val="none" w:sz="0" w:space="0" w:color="auto"/>
      </w:divBdr>
    </w:div>
    <w:div w:id="18582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22806;&#27719;&#31649;&#29702;&#26465;&#20363;.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https://www.6laws.net/6law/law-gb/&#20013;&#33775;&#20154;&#27665;&#20849;&#21644;&#22283;&#22806;&#21295;&#31649;&#29702;&#26781;&#20363;.htm" TargetMode="External"/><Relationship Id="rId10" Type="http://schemas.openxmlformats.org/officeDocument/2006/relationships/hyperlink" Target="http://www.pkulaw.cn/fulltext_form.aspx?Db=chl&amp;Gid=1072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Links>
    <vt:vector size="246" baseType="variant">
      <vt:variant>
        <vt:i4>2949124</vt:i4>
      </vt:variant>
      <vt:variant>
        <vt:i4>120</vt:i4>
      </vt:variant>
      <vt:variant>
        <vt:i4>0</vt:i4>
      </vt:variant>
      <vt:variant>
        <vt:i4>5</vt:i4>
      </vt:variant>
      <vt:variant>
        <vt:lpwstr>mailto:anita399646@hotmail.com</vt:lpwstr>
      </vt:variant>
      <vt:variant>
        <vt:lpwstr/>
      </vt:variant>
      <vt:variant>
        <vt:i4>7274612</vt:i4>
      </vt:variant>
      <vt:variant>
        <vt:i4>117</vt:i4>
      </vt:variant>
      <vt:variant>
        <vt:i4>0</vt:i4>
      </vt:variant>
      <vt:variant>
        <vt:i4>5</vt:i4>
      </vt:variant>
      <vt:variant>
        <vt:lpwstr/>
      </vt:variant>
      <vt:variant>
        <vt:lpwstr>top</vt:lpwstr>
      </vt:variant>
      <vt:variant>
        <vt:i4>6357089</vt:i4>
      </vt:variant>
      <vt:variant>
        <vt:i4>114</vt:i4>
      </vt:variant>
      <vt:variant>
        <vt:i4>0</vt:i4>
      </vt:variant>
      <vt:variant>
        <vt:i4>5</vt:i4>
      </vt:variant>
      <vt:variant>
        <vt:lpwstr/>
      </vt:variant>
      <vt:variant>
        <vt:lpwstr>aaa</vt:lpwstr>
      </vt:variant>
      <vt:variant>
        <vt:i4>3342433</vt:i4>
      </vt:variant>
      <vt:variant>
        <vt:i4>111</vt:i4>
      </vt:variant>
      <vt:variant>
        <vt:i4>0</vt:i4>
      </vt:variant>
      <vt:variant>
        <vt:i4>5</vt:i4>
      </vt:variant>
      <vt:variant>
        <vt:lpwstr/>
      </vt:variant>
      <vt:variant>
        <vt:lpwstr>a31</vt:lpwstr>
      </vt:variant>
      <vt:variant>
        <vt:i4>3276897</vt:i4>
      </vt:variant>
      <vt:variant>
        <vt:i4>108</vt:i4>
      </vt:variant>
      <vt:variant>
        <vt:i4>0</vt:i4>
      </vt:variant>
      <vt:variant>
        <vt:i4>5</vt:i4>
      </vt:variant>
      <vt:variant>
        <vt:lpwstr/>
      </vt:variant>
      <vt:variant>
        <vt:lpwstr>a29</vt:lpwstr>
      </vt:variant>
      <vt:variant>
        <vt:i4>6357089</vt:i4>
      </vt:variant>
      <vt:variant>
        <vt:i4>105</vt:i4>
      </vt:variant>
      <vt:variant>
        <vt:i4>0</vt:i4>
      </vt:variant>
      <vt:variant>
        <vt:i4>5</vt:i4>
      </vt:variant>
      <vt:variant>
        <vt:lpwstr/>
      </vt:variant>
      <vt:variant>
        <vt:lpwstr>aaa</vt:lpwstr>
      </vt:variant>
      <vt:variant>
        <vt:i4>6357089</vt:i4>
      </vt:variant>
      <vt:variant>
        <vt:i4>102</vt:i4>
      </vt:variant>
      <vt:variant>
        <vt:i4>0</vt:i4>
      </vt:variant>
      <vt:variant>
        <vt:i4>5</vt:i4>
      </vt:variant>
      <vt:variant>
        <vt:lpwstr/>
      </vt:variant>
      <vt:variant>
        <vt:lpwstr>aaa</vt:lpwstr>
      </vt:variant>
      <vt:variant>
        <vt:i4>6357089</vt:i4>
      </vt:variant>
      <vt:variant>
        <vt:i4>99</vt:i4>
      </vt:variant>
      <vt:variant>
        <vt:i4>0</vt:i4>
      </vt:variant>
      <vt:variant>
        <vt:i4>5</vt:i4>
      </vt:variant>
      <vt:variant>
        <vt:lpwstr/>
      </vt:variant>
      <vt:variant>
        <vt:lpwstr>aaa</vt:lpwstr>
      </vt:variant>
      <vt:variant>
        <vt:i4>6357089</vt:i4>
      </vt:variant>
      <vt:variant>
        <vt:i4>96</vt:i4>
      </vt:variant>
      <vt:variant>
        <vt:i4>0</vt:i4>
      </vt:variant>
      <vt:variant>
        <vt:i4>5</vt:i4>
      </vt:variant>
      <vt:variant>
        <vt:lpwstr/>
      </vt:variant>
      <vt:variant>
        <vt:lpwstr>aaa</vt:lpwstr>
      </vt:variant>
      <vt:variant>
        <vt:i4>6357089</vt:i4>
      </vt:variant>
      <vt:variant>
        <vt:i4>93</vt:i4>
      </vt:variant>
      <vt:variant>
        <vt:i4>0</vt:i4>
      </vt:variant>
      <vt:variant>
        <vt:i4>5</vt:i4>
      </vt:variant>
      <vt:variant>
        <vt:lpwstr/>
      </vt:variant>
      <vt:variant>
        <vt:lpwstr>aaa</vt:lpwstr>
      </vt:variant>
      <vt:variant>
        <vt:i4>26430979</vt:i4>
      </vt:variant>
      <vt:variant>
        <vt:i4>90</vt:i4>
      </vt:variant>
      <vt:variant>
        <vt:i4>0</vt:i4>
      </vt:variant>
      <vt:variant>
        <vt:i4>5</vt:i4>
      </vt:variant>
      <vt:variant>
        <vt:lpwstr/>
      </vt:variant>
      <vt:variant>
        <vt:lpwstr>_第七章__附</vt:lpwstr>
      </vt:variant>
      <vt:variant>
        <vt:i4>26431853</vt:i4>
      </vt:variant>
      <vt:variant>
        <vt:i4>87</vt:i4>
      </vt:variant>
      <vt:variant>
        <vt:i4>0</vt:i4>
      </vt:variant>
      <vt:variant>
        <vt:i4>5</vt:i4>
      </vt:variant>
      <vt:variant>
        <vt:lpwstr/>
      </vt:variant>
      <vt:variant>
        <vt:lpwstr>_第六章__法</vt:lpwstr>
      </vt:variant>
      <vt:variant>
        <vt:i4>1631202014</vt:i4>
      </vt:variant>
      <vt:variant>
        <vt:i4>84</vt:i4>
      </vt:variant>
      <vt:variant>
        <vt:i4>0</vt:i4>
      </vt:variant>
      <vt:variant>
        <vt:i4>5</vt:i4>
      </vt:variant>
      <vt:variant>
        <vt:lpwstr/>
      </vt:variant>
      <vt:variant>
        <vt:lpwstr>_第五章__人民幣匯率和外匯市場</vt:lpwstr>
      </vt:variant>
      <vt:variant>
        <vt:i4>-299655890</vt:i4>
      </vt:variant>
      <vt:variant>
        <vt:i4>81</vt:i4>
      </vt:variant>
      <vt:variant>
        <vt:i4>0</vt:i4>
      </vt:variant>
      <vt:variant>
        <vt:i4>5</vt:i4>
      </vt:variant>
      <vt:variant>
        <vt:lpwstr/>
      </vt:variant>
      <vt:variant>
        <vt:lpwstr>_第四章__金融機構外匯業務</vt:lpwstr>
      </vt:variant>
      <vt:variant>
        <vt:i4>1132331997</vt:i4>
      </vt:variant>
      <vt:variant>
        <vt:i4>78</vt:i4>
      </vt:variant>
      <vt:variant>
        <vt:i4>0</vt:i4>
      </vt:variant>
      <vt:variant>
        <vt:i4>5</vt:i4>
      </vt:variant>
      <vt:variant>
        <vt:lpwstr/>
      </vt:variant>
      <vt:variant>
        <vt:lpwstr>_第三章__資本項目外匯</vt:lpwstr>
      </vt:variant>
      <vt:variant>
        <vt:i4>1691104769</vt:i4>
      </vt:variant>
      <vt:variant>
        <vt:i4>75</vt:i4>
      </vt:variant>
      <vt:variant>
        <vt:i4>0</vt:i4>
      </vt:variant>
      <vt:variant>
        <vt:i4>5</vt:i4>
      </vt:variant>
      <vt:variant>
        <vt:lpwstr/>
      </vt:variant>
      <vt:variant>
        <vt:lpwstr>_第二章__經常專案外匯</vt:lpwstr>
      </vt:variant>
      <vt:variant>
        <vt:i4>30158909</vt:i4>
      </vt:variant>
      <vt:variant>
        <vt:i4>72</vt:i4>
      </vt:variant>
      <vt:variant>
        <vt:i4>0</vt:i4>
      </vt:variant>
      <vt:variant>
        <vt:i4>5</vt:i4>
      </vt:variant>
      <vt:variant>
        <vt:lpwstr/>
      </vt:variant>
      <vt:variant>
        <vt:lpwstr>_第一章__總_則</vt:lpwstr>
      </vt:variant>
      <vt:variant>
        <vt:i4>2949124</vt:i4>
      </vt:variant>
      <vt:variant>
        <vt:i4>69</vt:i4>
      </vt:variant>
      <vt:variant>
        <vt:i4>0</vt:i4>
      </vt:variant>
      <vt:variant>
        <vt:i4>5</vt:i4>
      </vt:variant>
      <vt:variant>
        <vt:lpwstr>mailto:anita399646@hotmail.com</vt:lpwstr>
      </vt:variant>
      <vt:variant>
        <vt:lpwstr/>
      </vt:variant>
      <vt:variant>
        <vt:i4>7274612</vt:i4>
      </vt:variant>
      <vt:variant>
        <vt:i4>66</vt:i4>
      </vt:variant>
      <vt:variant>
        <vt:i4>0</vt:i4>
      </vt:variant>
      <vt:variant>
        <vt:i4>5</vt:i4>
      </vt:variant>
      <vt:variant>
        <vt:lpwstr/>
      </vt:variant>
      <vt:variant>
        <vt:lpwstr>top</vt:lpwstr>
      </vt:variant>
      <vt:variant>
        <vt:i4>6422626</vt:i4>
      </vt:variant>
      <vt:variant>
        <vt:i4>63</vt:i4>
      </vt:variant>
      <vt:variant>
        <vt:i4>0</vt:i4>
      </vt:variant>
      <vt:variant>
        <vt:i4>5</vt:i4>
      </vt:variant>
      <vt:variant>
        <vt:lpwstr/>
      </vt:variant>
      <vt:variant>
        <vt:lpwstr>bbb</vt:lpwstr>
      </vt:variant>
      <vt:variant>
        <vt:i4>6422626</vt:i4>
      </vt:variant>
      <vt:variant>
        <vt:i4>60</vt:i4>
      </vt:variant>
      <vt:variant>
        <vt:i4>0</vt:i4>
      </vt:variant>
      <vt:variant>
        <vt:i4>5</vt:i4>
      </vt:variant>
      <vt:variant>
        <vt:lpwstr/>
      </vt:variant>
      <vt:variant>
        <vt:lpwstr>bbb</vt:lpwstr>
      </vt:variant>
      <vt:variant>
        <vt:i4>6422626</vt:i4>
      </vt:variant>
      <vt:variant>
        <vt:i4>57</vt:i4>
      </vt:variant>
      <vt:variant>
        <vt:i4>0</vt:i4>
      </vt:variant>
      <vt:variant>
        <vt:i4>5</vt:i4>
      </vt:variant>
      <vt:variant>
        <vt:lpwstr/>
      </vt:variant>
      <vt:variant>
        <vt:lpwstr>bbb</vt:lpwstr>
      </vt:variant>
      <vt:variant>
        <vt:i4>6422626</vt:i4>
      </vt:variant>
      <vt:variant>
        <vt:i4>54</vt:i4>
      </vt:variant>
      <vt:variant>
        <vt:i4>0</vt:i4>
      </vt:variant>
      <vt:variant>
        <vt:i4>5</vt:i4>
      </vt:variant>
      <vt:variant>
        <vt:lpwstr/>
      </vt:variant>
      <vt:variant>
        <vt:lpwstr>bbb</vt:lpwstr>
      </vt:variant>
      <vt:variant>
        <vt:i4>6422626</vt:i4>
      </vt:variant>
      <vt:variant>
        <vt:i4>51</vt:i4>
      </vt:variant>
      <vt:variant>
        <vt:i4>0</vt:i4>
      </vt:variant>
      <vt:variant>
        <vt:i4>5</vt:i4>
      </vt:variant>
      <vt:variant>
        <vt:lpwstr/>
      </vt:variant>
      <vt:variant>
        <vt:lpwstr>bbb</vt:lpwstr>
      </vt:variant>
      <vt:variant>
        <vt:i4>6422626</vt:i4>
      </vt:variant>
      <vt:variant>
        <vt:i4>48</vt:i4>
      </vt:variant>
      <vt:variant>
        <vt:i4>0</vt:i4>
      </vt:variant>
      <vt:variant>
        <vt:i4>5</vt:i4>
      </vt:variant>
      <vt:variant>
        <vt:lpwstr/>
      </vt:variant>
      <vt:variant>
        <vt:lpwstr>bbb</vt:lpwstr>
      </vt:variant>
      <vt:variant>
        <vt:i4>6422626</vt:i4>
      </vt:variant>
      <vt:variant>
        <vt:i4>45</vt:i4>
      </vt:variant>
      <vt:variant>
        <vt:i4>0</vt:i4>
      </vt:variant>
      <vt:variant>
        <vt:i4>5</vt:i4>
      </vt:variant>
      <vt:variant>
        <vt:lpwstr/>
      </vt:variant>
      <vt:variant>
        <vt:lpwstr>bbb</vt:lpwstr>
      </vt:variant>
      <vt:variant>
        <vt:i4>26431851</vt:i4>
      </vt:variant>
      <vt:variant>
        <vt:i4>42</vt:i4>
      </vt:variant>
      <vt:variant>
        <vt:i4>0</vt:i4>
      </vt:variant>
      <vt:variant>
        <vt:i4>5</vt:i4>
      </vt:variant>
      <vt:variant>
        <vt:lpwstr/>
      </vt:variant>
      <vt:variant>
        <vt:lpwstr>_第八章__附</vt:lpwstr>
      </vt:variant>
      <vt:variant>
        <vt:i4>283356794</vt:i4>
      </vt:variant>
      <vt:variant>
        <vt:i4>39</vt:i4>
      </vt:variant>
      <vt:variant>
        <vt:i4>0</vt:i4>
      </vt:variant>
      <vt:variant>
        <vt:i4>5</vt:i4>
      </vt:variant>
      <vt:variant>
        <vt:lpwstr/>
      </vt:variant>
      <vt:variant>
        <vt:lpwstr>_第七章__法律責任</vt:lpwstr>
      </vt:variant>
      <vt:variant>
        <vt:i4>49699887</vt:i4>
      </vt:variant>
      <vt:variant>
        <vt:i4>36</vt:i4>
      </vt:variant>
      <vt:variant>
        <vt:i4>0</vt:i4>
      </vt:variant>
      <vt:variant>
        <vt:i4>5</vt:i4>
      </vt:variant>
      <vt:variant>
        <vt:lpwstr/>
      </vt:variant>
      <vt:variant>
        <vt:lpwstr>_第六章__監督管理</vt:lpwstr>
      </vt:variant>
      <vt:variant>
        <vt:i4>356274559</vt:i4>
      </vt:variant>
      <vt:variant>
        <vt:i4>33</vt:i4>
      </vt:variant>
      <vt:variant>
        <vt:i4>0</vt:i4>
      </vt:variant>
      <vt:variant>
        <vt:i4>5</vt:i4>
      </vt:variant>
      <vt:variant>
        <vt:lpwstr/>
      </vt:variant>
      <vt:variant>
        <vt:lpwstr>_第五章__人民幣匯率和外匯市場管理</vt:lpwstr>
      </vt:variant>
      <vt:variant>
        <vt:i4>-1708792177</vt:i4>
      </vt:variant>
      <vt:variant>
        <vt:i4>30</vt:i4>
      </vt:variant>
      <vt:variant>
        <vt:i4>0</vt:i4>
      </vt:variant>
      <vt:variant>
        <vt:i4>5</vt:i4>
      </vt:variant>
      <vt:variant>
        <vt:lpwstr/>
      </vt:variant>
      <vt:variant>
        <vt:lpwstr>_第四章__金融機構外匯業務管理</vt:lpwstr>
      </vt:variant>
      <vt:variant>
        <vt:i4>696368174</vt:i4>
      </vt:variant>
      <vt:variant>
        <vt:i4>27</vt:i4>
      </vt:variant>
      <vt:variant>
        <vt:i4>0</vt:i4>
      </vt:variant>
      <vt:variant>
        <vt:i4>5</vt:i4>
      </vt:variant>
      <vt:variant>
        <vt:lpwstr/>
      </vt:variant>
      <vt:variant>
        <vt:lpwstr>_第三章資本專案外匯管理</vt:lpwstr>
      </vt:variant>
      <vt:variant>
        <vt:i4>278220287</vt:i4>
      </vt:variant>
      <vt:variant>
        <vt:i4>24</vt:i4>
      </vt:variant>
      <vt:variant>
        <vt:i4>0</vt:i4>
      </vt:variant>
      <vt:variant>
        <vt:i4>5</vt:i4>
      </vt:variant>
      <vt:variant>
        <vt:lpwstr/>
      </vt:variant>
      <vt:variant>
        <vt:lpwstr>_第二章經常專案外匯管理</vt:lpwstr>
      </vt:variant>
      <vt:variant>
        <vt:i4>26430976</vt:i4>
      </vt:variant>
      <vt:variant>
        <vt:i4>21</vt:i4>
      </vt:variant>
      <vt:variant>
        <vt:i4>0</vt:i4>
      </vt:variant>
      <vt:variant>
        <vt:i4>5</vt:i4>
      </vt:variant>
      <vt:variant>
        <vt:lpwstr/>
      </vt:variant>
      <vt:variant>
        <vt:lpwstr>_第一章__總</vt:lpwstr>
      </vt:variant>
      <vt:variant>
        <vt:i4>1607345185</vt:i4>
      </vt:variant>
      <vt:variant>
        <vt:i4>18</vt:i4>
      </vt:variant>
      <vt:variant>
        <vt:i4>0</vt:i4>
      </vt:variant>
      <vt:variant>
        <vt:i4>5</vt:i4>
      </vt:variant>
      <vt:variant>
        <vt:lpwstr/>
      </vt:variant>
      <vt:variant>
        <vt:lpwstr>_2008年8月1日公布修正前原條文--</vt:lpwstr>
      </vt:variant>
      <vt:variant>
        <vt:i4>1853092165</vt:i4>
      </vt:variant>
      <vt:variant>
        <vt:i4>15</vt:i4>
      </vt:variant>
      <vt:variant>
        <vt:i4>0</vt:i4>
      </vt:variant>
      <vt:variant>
        <vt:i4>5</vt:i4>
      </vt:variant>
      <vt:variant>
        <vt:lpwstr>http://www.6law.idv.tw/6law/law-gb/中華人民共和國外匯管理條例.htm</vt:lpwstr>
      </vt:variant>
      <vt:variant>
        <vt:lpwstr/>
      </vt:variant>
      <vt:variant>
        <vt:i4>-1181326996</vt:i4>
      </vt:variant>
      <vt:variant>
        <vt:i4>12</vt:i4>
      </vt:variant>
      <vt:variant>
        <vt:i4>0</vt:i4>
      </vt:variant>
      <vt:variant>
        <vt:i4>5</vt:i4>
      </vt:variant>
      <vt:variant>
        <vt:lpwstr>../S-link大陸法規索引.doc</vt:lpwstr>
      </vt:variant>
      <vt:variant>
        <vt:lpwstr>中華人民共和國外匯管理條例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中華人民共和國外匯管理條例</dc:title>
  <dc:subject/>
  <dc:creator>S-link 電子六法-黃婉玲</dc:creator>
  <cp:keywords/>
  <dc:description/>
  <cp:lastModifiedBy>黃婉玲 S-link電子六法</cp:lastModifiedBy>
  <cp:revision>16</cp:revision>
  <dcterms:created xsi:type="dcterms:W3CDTF">2014-11-28T01:04:00Z</dcterms:created>
  <dcterms:modified xsi:type="dcterms:W3CDTF">2022-03-24T11:56:00Z</dcterms:modified>
</cp:coreProperties>
</file>