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50E6" w14:textId="77777777" w:rsidR="0058050C" w:rsidRPr="00A97268" w:rsidRDefault="00C00150" w:rsidP="0058050C">
      <w:pPr>
        <w:adjustRightInd w:val="0"/>
        <w:snapToGrid w:val="0"/>
        <w:ind w:rightChars="8" w:right="16"/>
        <w:jc w:val="right"/>
        <w:rPr>
          <w:rFonts w:ascii="微軟正黑體" w:eastAsia="微軟正黑體" w:hAnsi="微軟正黑體"/>
        </w:rPr>
      </w:pPr>
      <w:r w:rsidRPr="00A97268">
        <w:rPr>
          <w:rFonts w:ascii="微軟正黑體" w:eastAsia="微軟正黑體" w:hAnsi="微軟正黑體"/>
          <w:noProof/>
          <w:color w:val="5F5F5F"/>
          <w:sz w:val="18"/>
          <w:szCs w:val="20"/>
          <w:lang w:val="zh-TW"/>
        </w:rPr>
        <w:drawing>
          <wp:inline distT="0" distB="0" distL="0" distR="0" wp14:anchorId="371AB8C7" wp14:editId="172F766C">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163362E5" w14:textId="0BAE4820" w:rsidR="0058050C" w:rsidRPr="00A97268"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A97268">
        <w:rPr>
          <w:rFonts w:ascii="微軟正黑體" w:eastAsia="微軟正黑體" w:hAnsi="微軟正黑體" w:hint="eastAsia"/>
          <w:color w:val="5F5F5F"/>
          <w:sz w:val="18"/>
          <w:szCs w:val="20"/>
          <w:lang w:val="zh-TW"/>
        </w:rPr>
        <w:t>【</w:t>
      </w:r>
      <w:hyperlink r:id="rId9" w:tgtFrame="_blank" w:history="1">
        <w:r w:rsidRPr="00A97268">
          <w:rPr>
            <w:rStyle w:val="a3"/>
            <w:rFonts w:ascii="微軟正黑體" w:eastAsia="微軟正黑體" w:hAnsi="微軟正黑體"/>
            <w:sz w:val="18"/>
            <w:szCs w:val="20"/>
          </w:rPr>
          <w:t>更新</w:t>
        </w:r>
      </w:hyperlink>
      <w:r w:rsidRPr="00A97268">
        <w:rPr>
          <w:rFonts w:ascii="微軟正黑體" w:eastAsia="微軟正黑體" w:hAnsi="微軟正黑體" w:hint="eastAsia"/>
          <w:color w:val="7F7F7F"/>
          <w:sz w:val="18"/>
          <w:szCs w:val="20"/>
          <w:lang w:val="zh-TW"/>
        </w:rPr>
        <w:t>】</w:t>
      </w:r>
      <w:bookmarkStart w:id="1" w:name="_Hlk98861106"/>
      <w:r w:rsidR="00A97268" w:rsidRPr="005F2503">
        <w:rPr>
          <w:rFonts w:ascii="Segoe UI Emoji" w:eastAsia="微軟正黑體" w:hAnsi="Segoe UI Emoji" w:cs="Segoe UI Emoji"/>
          <w:kern w:val="0"/>
          <w:sz w:val="18"/>
        </w:rPr>
        <w:t>⏰</w:t>
      </w:r>
      <w:bookmarkEnd w:id="1"/>
      <w:r w:rsidR="00A97268" w:rsidRPr="00FE1044">
        <w:rPr>
          <w:sz w:val="18"/>
        </w:rPr>
        <w:t>2022/4/2</w:t>
      </w:r>
      <w:r w:rsidRPr="00A97268">
        <w:rPr>
          <w:rFonts w:ascii="微軟正黑體" w:eastAsia="微軟正黑體" w:hAnsi="微軟正黑體" w:hint="eastAsia"/>
          <w:color w:val="7F7F7F"/>
          <w:sz w:val="18"/>
          <w:szCs w:val="20"/>
          <w:lang w:val="zh-TW"/>
        </w:rPr>
        <w:t>【</w:t>
      </w:r>
      <w:r w:rsidRPr="00A97268">
        <w:rPr>
          <w:rFonts w:ascii="微軟正黑體" w:eastAsia="微軟正黑體" w:hAnsi="微軟正黑體" w:hint="eastAsia"/>
          <w:color w:val="7F7F7F"/>
          <w:sz w:val="18"/>
          <w:szCs w:val="20"/>
        </w:rPr>
        <w:t>編輯著作權者</w:t>
      </w:r>
      <w:r w:rsidRPr="00A97268">
        <w:rPr>
          <w:rFonts w:ascii="微軟正黑體" w:eastAsia="微軟正黑體" w:hAnsi="微軟正黑體" w:hint="eastAsia"/>
          <w:color w:val="7F7F7F"/>
          <w:sz w:val="18"/>
          <w:szCs w:val="20"/>
          <w:lang w:val="zh-TW"/>
        </w:rPr>
        <w:t>】</w:t>
      </w:r>
      <w:hyperlink r:id="rId10" w:tgtFrame="_blank" w:history="1">
        <w:r w:rsidRPr="00A97268">
          <w:rPr>
            <w:rStyle w:val="a3"/>
            <w:rFonts w:ascii="微軟正黑體" w:eastAsia="微軟正黑體" w:hAnsi="微軟正黑體"/>
            <w:sz w:val="18"/>
            <w:szCs w:val="20"/>
          </w:rPr>
          <w:t>黃婉玲</w:t>
        </w:r>
      </w:hyperlink>
    </w:p>
    <w:p w14:paraId="4804533B" w14:textId="2034764B" w:rsidR="000861F4" w:rsidRPr="005F2503" w:rsidRDefault="000861F4" w:rsidP="000861F4">
      <w:pPr>
        <w:ind w:rightChars="-66" w:right="-132" w:firstLineChars="2880" w:firstLine="5184"/>
        <w:jc w:val="right"/>
        <w:rPr>
          <w:rFonts w:ascii="微軟正黑體" w:eastAsia="微軟正黑體" w:hAnsi="微軟正黑體"/>
          <w:color w:val="808000"/>
          <w:sz w:val="18"/>
        </w:rPr>
      </w:pPr>
      <w:bookmarkStart w:id="2" w:name="_Hlk73037927"/>
      <w:bookmarkStart w:id="3" w:name="_Hlk73024852"/>
      <w:r w:rsidRPr="005F2503">
        <w:rPr>
          <w:rFonts w:ascii="微軟正黑體" w:eastAsia="微軟正黑體" w:hAnsi="微軟正黑體" w:hint="eastAsia"/>
          <w:color w:val="5F5F5F"/>
          <w:sz w:val="18"/>
          <w:szCs w:val="20"/>
        </w:rPr>
        <w:t>（建議使用工具列--〉檢視--〉文件引導模式</w:t>
      </w:r>
      <w:bookmarkStart w:id="4" w:name="_Hlk98860402"/>
      <w:r w:rsidRPr="005F2503">
        <w:rPr>
          <w:rFonts w:ascii="微軟正黑體" w:eastAsia="微軟正黑體" w:hAnsi="微軟正黑體" w:hint="eastAsia"/>
          <w:color w:val="5F5F5F"/>
          <w:sz w:val="18"/>
          <w:szCs w:val="20"/>
        </w:rPr>
        <w:t>/</w:t>
      </w:r>
      <w:hyperlink r:id="rId11" w:history="1">
        <w:r w:rsidRPr="00FE1044">
          <w:rPr>
            <w:rStyle w:val="a3"/>
            <w:rFonts w:ascii="微軟正黑體" w:eastAsia="微軟正黑體" w:hAnsi="微軟正黑體" w:hint="eastAsia"/>
            <w:color w:val="5F5F5F"/>
            <w:sz w:val="18"/>
            <w:szCs w:val="20"/>
            <w:u w:val="none"/>
          </w:rPr>
          <w:t>功</w:t>
        </w:r>
        <w:r w:rsidRPr="00FE1044">
          <w:rPr>
            <w:rStyle w:val="a3"/>
            <w:rFonts w:ascii="微軟正黑體" w:eastAsia="微軟正黑體" w:hAnsi="微軟正黑體" w:hint="eastAsia"/>
            <w:color w:val="5F5F5F"/>
            <w:sz w:val="18"/>
            <w:szCs w:val="20"/>
            <w:u w:val="none"/>
          </w:rPr>
          <w:t>能</w:t>
        </w:r>
        <w:r w:rsidRPr="00FE1044">
          <w:rPr>
            <w:rStyle w:val="a3"/>
            <w:rFonts w:ascii="微軟正黑體" w:eastAsia="微軟正黑體" w:hAnsi="微軟正黑體" w:hint="eastAsia"/>
            <w:color w:val="5F5F5F"/>
            <w:sz w:val="18"/>
            <w:szCs w:val="20"/>
            <w:u w:val="none"/>
          </w:rPr>
          <w:t>窗格</w:t>
        </w:r>
      </w:hyperlink>
      <w:bookmarkEnd w:id="4"/>
      <w:r w:rsidRPr="005F2503">
        <w:rPr>
          <w:rFonts w:ascii="微軟正黑體" w:eastAsia="微軟正黑體" w:hAnsi="微軟正黑體" w:hint="eastAsia"/>
          <w:color w:val="5F5F5F"/>
          <w:sz w:val="18"/>
          <w:szCs w:val="20"/>
        </w:rPr>
        <w:t>）</w:t>
      </w:r>
      <w:bookmarkEnd w:id="2"/>
    </w:p>
    <w:bookmarkEnd w:id="3"/>
    <w:p w14:paraId="73EEDBFC" w14:textId="0E5182A7" w:rsidR="0058050C" w:rsidRPr="00A97268" w:rsidRDefault="006545BA" w:rsidP="0058050C">
      <w:pPr>
        <w:jc w:val="right"/>
        <w:rPr>
          <w:rFonts w:ascii="微軟正黑體" w:eastAsia="微軟正黑體" w:hAnsi="微軟正黑體"/>
          <w:b/>
          <w:color w:val="5F5F5F"/>
          <w:sz w:val="18"/>
        </w:rPr>
      </w:pPr>
      <w:r w:rsidRPr="00A97268">
        <w:rPr>
          <w:rFonts w:ascii="微軟正黑體" w:eastAsia="微軟正黑體" w:hAnsi="微軟正黑體"/>
        </w:rPr>
        <w:fldChar w:fldCharType="begin"/>
      </w:r>
      <w:r>
        <w:rPr>
          <w:rFonts w:ascii="微軟正黑體" w:eastAsia="微軟正黑體" w:hAnsi="微軟正黑體"/>
        </w:rPr>
        <w:instrText>HYPERLINK "../S-link電子六法總索引.docx"</w:instrText>
      </w:r>
      <w:r w:rsidRPr="00A97268">
        <w:rPr>
          <w:rFonts w:ascii="微軟正黑體" w:eastAsia="微軟正黑體" w:hAnsi="微軟正黑體"/>
        </w:rPr>
      </w:r>
      <w:r w:rsidRPr="00A97268">
        <w:rPr>
          <w:rFonts w:ascii="微軟正黑體" w:eastAsia="微軟正黑體" w:hAnsi="微軟正黑體"/>
        </w:rPr>
        <w:fldChar w:fldCharType="separate"/>
      </w:r>
      <w:r w:rsidR="0058050C" w:rsidRPr="00A97268">
        <w:rPr>
          <w:rFonts w:ascii="微軟正黑體" w:eastAsia="微軟正黑體" w:hAnsi="微軟正黑體" w:hint="eastAsia"/>
          <w:color w:val="808000"/>
          <w:sz w:val="18"/>
          <w:szCs w:val="20"/>
          <w:u w:val="single"/>
        </w:rPr>
        <w:t>S-link總索引</w:t>
      </w:r>
      <w:r w:rsidRPr="00A97268">
        <w:rPr>
          <w:rFonts w:ascii="微軟正黑體" w:eastAsia="微軟正黑體" w:hAnsi="微軟正黑體"/>
          <w:color w:val="808000"/>
          <w:sz w:val="18"/>
          <w:szCs w:val="20"/>
          <w:u w:val="single"/>
        </w:rPr>
        <w:fldChar w:fldCharType="end"/>
      </w:r>
      <w:r w:rsidR="0058050C" w:rsidRPr="00A97268">
        <w:rPr>
          <w:rFonts w:ascii="微軟正黑體" w:eastAsia="微軟正黑體" w:hAnsi="微軟正黑體" w:hint="eastAsia"/>
          <w:b/>
          <w:color w:val="808000"/>
          <w:sz w:val="18"/>
          <w:szCs w:val="20"/>
        </w:rPr>
        <w:t>〉〉</w:t>
      </w:r>
      <w:hyperlink r:id="rId12" w:anchor="中華人民共和國外商投資法" w:history="1">
        <w:r w:rsidR="00E323A6">
          <w:rPr>
            <w:rStyle w:val="a3"/>
            <w:rFonts w:ascii="微軟正黑體" w:eastAsia="微軟正黑體" w:hAnsi="微軟正黑體" w:hint="eastAsia"/>
            <w:sz w:val="18"/>
          </w:rPr>
          <w:t>S-link中國法律法規索引</w:t>
        </w:r>
      </w:hyperlink>
      <w:r w:rsidR="0058050C" w:rsidRPr="00A97268">
        <w:rPr>
          <w:rFonts w:ascii="微軟正黑體" w:eastAsia="微軟正黑體" w:hAnsi="微軟正黑體" w:hint="eastAsia"/>
          <w:b/>
          <w:color w:val="5F5F5F"/>
          <w:sz w:val="18"/>
        </w:rPr>
        <w:t>〉〉</w:t>
      </w:r>
      <w:hyperlink r:id="rId13" w:tgtFrame="_blank" w:history="1">
        <w:r w:rsidR="0058050C" w:rsidRPr="00A97268">
          <w:rPr>
            <w:rStyle w:val="a3"/>
            <w:rFonts w:ascii="微軟正黑體" w:eastAsia="微軟正黑體" w:hAnsi="微軟正黑體" w:hint="eastAsia"/>
            <w:sz w:val="18"/>
          </w:rPr>
          <w:t>線上網頁版</w:t>
        </w:r>
      </w:hyperlink>
      <w:r w:rsidR="0058050C" w:rsidRPr="00A97268">
        <w:rPr>
          <w:rFonts w:ascii="微軟正黑體" w:eastAsia="微軟正黑體" w:hAnsi="微軟正黑體" w:hint="eastAsia"/>
          <w:b/>
          <w:color w:val="5F5F5F"/>
          <w:sz w:val="18"/>
        </w:rPr>
        <w:t>〉〉</w:t>
      </w:r>
    </w:p>
    <w:p w14:paraId="2D7A4EA1" w14:textId="77777777" w:rsidR="0058050C" w:rsidRPr="00A97268" w:rsidRDefault="0058050C" w:rsidP="0058050C">
      <w:pPr>
        <w:jc w:val="right"/>
        <w:rPr>
          <w:rFonts w:ascii="微軟正黑體" w:eastAsia="微軟正黑體" w:hAnsi="微軟正黑體"/>
          <w:color w:val="000000"/>
          <w:u w:val="single"/>
        </w:rPr>
      </w:pPr>
    </w:p>
    <w:p w14:paraId="48274889" w14:textId="312C2C8F" w:rsidR="0058050C" w:rsidRPr="00A97268" w:rsidRDefault="0058050C" w:rsidP="00D84CA5">
      <w:pPr>
        <w:tabs>
          <w:tab w:val="num" w:pos="960"/>
        </w:tabs>
        <w:adjustRightInd w:val="0"/>
        <w:snapToGrid w:val="0"/>
        <w:ind w:left="198" w:hanging="198"/>
        <w:jc w:val="both"/>
        <w:rPr>
          <w:rFonts w:ascii="微軟正黑體" w:eastAsia="微軟正黑體" w:hAnsi="微軟正黑體"/>
          <w:b/>
          <w:bCs/>
          <w:color w:val="993300"/>
          <w:szCs w:val="20"/>
        </w:rPr>
      </w:pPr>
      <w:r w:rsidRPr="00A97268">
        <w:rPr>
          <w:rFonts w:ascii="微軟正黑體" w:eastAsia="微軟正黑體" w:hAnsi="微軟正黑體"/>
          <w:b/>
          <w:bCs/>
          <w:color w:val="990000"/>
          <w:szCs w:val="20"/>
        </w:rPr>
        <w:t>【</w:t>
      </w:r>
      <w:bookmarkStart w:id="5" w:name="_Hlk73057892"/>
      <w:r w:rsidR="00727538" w:rsidRPr="00F565D1">
        <w:rPr>
          <w:rFonts w:ascii="微軟正黑體" w:eastAsia="微軟正黑體" w:hAnsi="微軟正黑體" w:hint="eastAsia"/>
          <w:b/>
          <w:color w:val="990000"/>
        </w:rPr>
        <w:t>法律法規</w:t>
      </w:r>
      <w:bookmarkEnd w:id="5"/>
      <w:r w:rsidRPr="00A97268">
        <w:rPr>
          <w:rFonts w:ascii="微軟正黑體" w:eastAsia="微軟正黑體" w:hAnsi="微軟正黑體"/>
          <w:b/>
          <w:bCs/>
          <w:color w:val="990000"/>
          <w:szCs w:val="20"/>
        </w:rPr>
        <w:t>】</w:t>
      </w:r>
      <w:r w:rsidR="0086194A" w:rsidRPr="00A97268">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中華人民共和國外商投資法</w:t>
      </w:r>
    </w:p>
    <w:p w14:paraId="261685A4" w14:textId="77777777" w:rsidR="0058050C" w:rsidRPr="00A97268" w:rsidRDefault="0058050C" w:rsidP="0058050C">
      <w:pPr>
        <w:tabs>
          <w:tab w:val="num" w:pos="960"/>
        </w:tabs>
        <w:ind w:left="200" w:hangingChars="100" w:hanging="200"/>
        <w:rPr>
          <w:rFonts w:ascii="微軟正黑體" w:eastAsia="微軟正黑體" w:hAnsi="微軟正黑體"/>
          <w:color w:val="333333"/>
        </w:rPr>
      </w:pPr>
      <w:r w:rsidRPr="00A97268">
        <w:rPr>
          <w:rFonts w:ascii="微軟正黑體" w:eastAsia="微軟正黑體" w:hAnsi="微軟正黑體"/>
          <w:b/>
          <w:color w:val="990000"/>
        </w:rPr>
        <w:t>【</w:t>
      </w:r>
      <w:r w:rsidRPr="00A97268">
        <w:rPr>
          <w:rFonts w:ascii="微軟正黑體" w:eastAsia="微軟正黑體" w:hAnsi="微軟正黑體" w:hint="eastAsia"/>
          <w:b/>
          <w:color w:val="990000"/>
        </w:rPr>
        <w:t>發布單位</w:t>
      </w:r>
      <w:r w:rsidRPr="00A97268">
        <w:rPr>
          <w:rFonts w:ascii="微軟正黑體" w:eastAsia="微軟正黑體" w:hAnsi="微軟正黑體"/>
          <w:b/>
          <w:color w:val="990000"/>
        </w:rPr>
        <w:t>】</w:t>
      </w:r>
      <w:r w:rsidRPr="00A97268">
        <w:rPr>
          <w:rFonts w:ascii="微軟正黑體" w:eastAsia="微軟正黑體" w:hAnsi="微軟正黑體" w:hint="eastAsia"/>
          <w:sz w:val="18"/>
          <w:szCs w:val="20"/>
        </w:rPr>
        <w:t>全國人民代表大會常務委員會</w:t>
      </w:r>
    </w:p>
    <w:p w14:paraId="49119E33" w14:textId="77777777" w:rsidR="0058050C" w:rsidRPr="00A97268" w:rsidRDefault="0058050C" w:rsidP="0058050C">
      <w:pPr>
        <w:tabs>
          <w:tab w:val="num" w:pos="960"/>
        </w:tabs>
        <w:rPr>
          <w:rFonts w:ascii="微軟正黑體" w:eastAsia="微軟正黑體" w:hAnsi="微軟正黑體"/>
          <w:bCs/>
          <w:color w:val="333333"/>
          <w:szCs w:val="20"/>
        </w:rPr>
      </w:pPr>
      <w:r w:rsidRPr="00A97268">
        <w:rPr>
          <w:rFonts w:ascii="微軟正黑體" w:eastAsia="微軟正黑體" w:hAnsi="微軟正黑體"/>
          <w:b/>
          <w:color w:val="990000"/>
          <w:szCs w:val="20"/>
        </w:rPr>
        <w:t>【</w:t>
      </w:r>
      <w:r w:rsidR="006017A9" w:rsidRPr="00A97268">
        <w:rPr>
          <w:rFonts w:ascii="微軟正黑體" w:eastAsia="微軟正黑體" w:hAnsi="微軟正黑體" w:hint="eastAsia"/>
          <w:b/>
          <w:color w:val="990000"/>
          <w:szCs w:val="20"/>
        </w:rPr>
        <w:t>發布/修正</w:t>
      </w:r>
      <w:r w:rsidRPr="00A97268">
        <w:rPr>
          <w:rFonts w:ascii="微軟正黑體" w:eastAsia="微軟正黑體" w:hAnsi="微軟正黑體"/>
          <w:b/>
          <w:color w:val="990000"/>
          <w:szCs w:val="20"/>
        </w:rPr>
        <w:t>】</w:t>
      </w:r>
      <w:r w:rsidR="008E183F" w:rsidRPr="00A97268">
        <w:rPr>
          <w:rFonts w:ascii="微軟正黑體" w:eastAsia="微軟正黑體" w:hAnsi="微軟正黑體" w:hint="eastAsia"/>
          <w:bCs/>
          <w:color w:val="000000"/>
        </w:rPr>
        <w:t>2019年3月15日</w:t>
      </w:r>
    </w:p>
    <w:p w14:paraId="43EED827" w14:textId="77777777" w:rsidR="0058050C" w:rsidRPr="006545BA" w:rsidRDefault="0058050C" w:rsidP="0058050C">
      <w:pPr>
        <w:ind w:left="1400" w:hangingChars="700" w:hanging="1400"/>
        <w:rPr>
          <w:rFonts w:ascii="微軟正黑體" w:eastAsia="微軟正黑體" w:hAnsi="微軟正黑體"/>
          <w:color w:val="17365D"/>
        </w:rPr>
      </w:pPr>
      <w:r w:rsidRPr="00A97268">
        <w:rPr>
          <w:rFonts w:ascii="微軟正黑體" w:eastAsia="微軟正黑體" w:hAnsi="微軟正黑體"/>
          <w:b/>
          <w:color w:val="990000"/>
        </w:rPr>
        <w:t>【</w:t>
      </w:r>
      <w:r w:rsidRPr="00A97268">
        <w:rPr>
          <w:rFonts w:ascii="微軟正黑體" w:eastAsia="微軟正黑體" w:hAnsi="微軟正黑體" w:hint="eastAsia"/>
          <w:b/>
          <w:color w:val="990000"/>
        </w:rPr>
        <w:t>實施日期</w:t>
      </w:r>
      <w:r w:rsidRPr="00A97268">
        <w:rPr>
          <w:rFonts w:ascii="微軟正黑體" w:eastAsia="微軟正黑體" w:hAnsi="微軟正黑體"/>
          <w:b/>
          <w:color w:val="990000"/>
        </w:rPr>
        <w:t>】</w:t>
      </w:r>
      <w:r w:rsidR="008E183F" w:rsidRPr="00A97268">
        <w:rPr>
          <w:rFonts w:ascii="微軟正黑體" w:eastAsia="微軟正黑體" w:hAnsi="微軟正黑體" w:hint="eastAsia"/>
          <w:bCs/>
          <w:color w:val="000000"/>
        </w:rPr>
        <w:t>2020年1月1日</w:t>
      </w:r>
    </w:p>
    <w:p w14:paraId="3CE730E7" w14:textId="77777777" w:rsidR="0058050C" w:rsidRPr="00A97268" w:rsidRDefault="0058050C" w:rsidP="0058050C">
      <w:pPr>
        <w:rPr>
          <w:rFonts w:ascii="微軟正黑體" w:eastAsia="微軟正黑體" w:hAnsi="微軟正黑體"/>
        </w:rPr>
      </w:pPr>
    </w:p>
    <w:p w14:paraId="0C4BD481" w14:textId="77777777" w:rsidR="0058050C" w:rsidRPr="00A97268" w:rsidRDefault="0058050C" w:rsidP="002F569F">
      <w:pPr>
        <w:pStyle w:val="1"/>
        <w:spacing w:beforeLines="30" w:before="108" w:beforeAutospacing="0" w:afterLines="30" w:after="108" w:afterAutospacing="0"/>
        <w:rPr>
          <w:rFonts w:ascii="微軟正黑體" w:eastAsia="微軟正黑體" w:hAnsi="微軟正黑體"/>
          <w:color w:val="990000"/>
        </w:rPr>
      </w:pPr>
      <w:r w:rsidRPr="00A97268">
        <w:rPr>
          <w:rFonts w:ascii="微軟正黑體" w:eastAsia="微軟正黑體" w:hAnsi="微軟正黑體"/>
          <w:color w:val="990000"/>
        </w:rPr>
        <w:t>【</w:t>
      </w:r>
      <w:r w:rsidRPr="00A97268">
        <w:rPr>
          <w:rFonts w:ascii="微軟正黑體" w:eastAsia="微軟正黑體" w:hAnsi="微軟正黑體" w:hint="eastAsia"/>
          <w:color w:val="990000"/>
        </w:rPr>
        <w:t>法規沿革</w:t>
      </w:r>
      <w:r w:rsidRPr="00A97268">
        <w:rPr>
          <w:rFonts w:ascii="微軟正黑體" w:eastAsia="微軟正黑體" w:hAnsi="微軟正黑體"/>
          <w:color w:val="990000"/>
        </w:rPr>
        <w:t>】</w:t>
      </w:r>
    </w:p>
    <w:p w14:paraId="54241062" w14:textId="77777777" w:rsidR="0058050C" w:rsidRPr="00A97268" w:rsidRDefault="0058050C" w:rsidP="0058050C">
      <w:pPr>
        <w:ind w:leftChars="59" w:left="118"/>
        <w:rPr>
          <w:rFonts w:ascii="微軟正黑體" w:eastAsia="微軟正黑體" w:hAnsi="微軟正黑體"/>
          <w:bCs/>
          <w:color w:val="000000"/>
          <w:sz w:val="18"/>
        </w:rPr>
      </w:pPr>
      <w:r w:rsidRPr="00A97268">
        <w:rPr>
          <w:rFonts w:ascii="微軟正黑體" w:eastAsia="微軟正黑體" w:hAnsi="微軟正黑體" w:hint="eastAsia"/>
          <w:bCs/>
          <w:color w:val="000000"/>
          <w:sz w:val="18"/>
        </w:rPr>
        <w:t>‧</w:t>
      </w:r>
      <w:r w:rsidR="0086194A" w:rsidRPr="00A97268">
        <w:rPr>
          <w:rFonts w:ascii="微軟正黑體" w:eastAsia="微軟正黑體" w:hAnsi="微軟正黑體" w:hint="eastAsia"/>
          <w:bCs/>
          <w:color w:val="000000"/>
          <w:sz w:val="18"/>
        </w:rPr>
        <w:t>2019年3月15日中華人民共和國第十三屆全國人民代表大會第二次會議通過，自2020年1月1日起施行</w:t>
      </w:r>
    </w:p>
    <w:p w14:paraId="0695704C" w14:textId="77777777" w:rsidR="0058050C" w:rsidRPr="00A97268" w:rsidRDefault="0058050C" w:rsidP="0058050C">
      <w:pPr>
        <w:ind w:leftChars="118" w:left="300" w:hangingChars="32" w:hanging="64"/>
        <w:rPr>
          <w:rFonts w:ascii="微軟正黑體" w:eastAsia="微軟正黑體" w:hAnsi="微軟正黑體"/>
          <w:b/>
          <w:bCs/>
          <w:color w:val="800000"/>
          <w:szCs w:val="27"/>
        </w:rPr>
      </w:pPr>
    </w:p>
    <w:p w14:paraId="2E01CE48" w14:textId="77777777" w:rsidR="0058050C" w:rsidRPr="00A97268" w:rsidRDefault="0058050C" w:rsidP="002F569F">
      <w:pPr>
        <w:pStyle w:val="1"/>
        <w:spacing w:beforeLines="30" w:before="108" w:beforeAutospacing="0" w:afterLines="30" w:after="108" w:afterAutospacing="0"/>
        <w:rPr>
          <w:rFonts w:ascii="微軟正黑體" w:eastAsia="微軟正黑體" w:hAnsi="微軟正黑體"/>
          <w:color w:val="990000"/>
        </w:rPr>
      </w:pPr>
      <w:bookmarkStart w:id="6" w:name="a章節索引"/>
      <w:bookmarkEnd w:id="6"/>
      <w:r w:rsidRPr="00A97268">
        <w:rPr>
          <w:rFonts w:ascii="微軟正黑體" w:eastAsia="微軟正黑體" w:hAnsi="微軟正黑體"/>
          <w:color w:val="990000"/>
        </w:rPr>
        <w:t>【</w:t>
      </w:r>
      <w:r w:rsidRPr="00A97268">
        <w:rPr>
          <w:rFonts w:ascii="微軟正黑體" w:eastAsia="微軟正黑體" w:hAnsi="微軟正黑體" w:hint="eastAsia"/>
          <w:color w:val="990000"/>
        </w:rPr>
        <w:t>章節索引</w:t>
      </w:r>
      <w:r w:rsidRPr="00A97268">
        <w:rPr>
          <w:rFonts w:ascii="微軟正黑體" w:eastAsia="微軟正黑體" w:hAnsi="微軟正黑體"/>
          <w:color w:val="990000"/>
        </w:rPr>
        <w:t>】</w:t>
      </w:r>
    </w:p>
    <w:p w14:paraId="16535C40" w14:textId="77777777" w:rsidR="002F569F"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第一章　</w:t>
      </w:r>
      <w:hyperlink w:anchor="_第一章__總" w:history="1">
        <w:r w:rsidRPr="00A97268">
          <w:rPr>
            <w:rStyle w:val="a3"/>
            <w:rFonts w:ascii="微軟正黑體" w:eastAsia="微軟正黑體" w:hAnsi="微軟正黑體" w:hint="eastAsia"/>
          </w:rPr>
          <w:t>總則</w:t>
        </w:r>
      </w:hyperlink>
      <w:r w:rsidRPr="00A97268">
        <w:rPr>
          <w:rFonts w:ascii="微軟正黑體" w:eastAsia="微軟正黑體" w:hAnsi="微軟正黑體" w:hint="eastAsia"/>
          <w:color w:val="990000"/>
        </w:rPr>
        <w:t xml:space="preserve">　§1</w:t>
      </w:r>
    </w:p>
    <w:p w14:paraId="1706D0A7" w14:textId="77777777" w:rsidR="002F569F"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第二章　</w:t>
      </w:r>
      <w:hyperlink w:anchor="_第二章__投資促進" w:history="1">
        <w:r w:rsidRPr="00A97268">
          <w:rPr>
            <w:rStyle w:val="a3"/>
            <w:rFonts w:ascii="微軟正黑體" w:eastAsia="微軟正黑體" w:hAnsi="微軟正黑體" w:hint="eastAsia"/>
          </w:rPr>
          <w:t>投資促進</w:t>
        </w:r>
      </w:hyperlink>
      <w:r w:rsidRPr="00A97268">
        <w:rPr>
          <w:rFonts w:ascii="微軟正黑體" w:eastAsia="微軟正黑體" w:hAnsi="微軟正黑體" w:hint="eastAsia"/>
          <w:color w:val="990000"/>
        </w:rPr>
        <w:t xml:space="preserve">　§</w:t>
      </w:r>
      <w:r w:rsidR="007E1C6F" w:rsidRPr="00A97268">
        <w:rPr>
          <w:rFonts w:ascii="微軟正黑體" w:eastAsia="微軟正黑體" w:hAnsi="微軟正黑體"/>
          <w:color w:val="990000"/>
        </w:rPr>
        <w:t>9</w:t>
      </w:r>
    </w:p>
    <w:p w14:paraId="7B7F627E" w14:textId="77777777" w:rsidR="002F569F"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第三章　</w:t>
      </w:r>
      <w:hyperlink w:anchor="_第三章__投資保護" w:history="1">
        <w:r w:rsidRPr="00A97268">
          <w:rPr>
            <w:rStyle w:val="a3"/>
            <w:rFonts w:ascii="微軟正黑體" w:eastAsia="微軟正黑體" w:hAnsi="微軟正黑體" w:hint="eastAsia"/>
          </w:rPr>
          <w:t>投資保護</w:t>
        </w:r>
      </w:hyperlink>
      <w:r w:rsidRPr="00A97268">
        <w:rPr>
          <w:rFonts w:ascii="微軟正黑體" w:eastAsia="微軟正黑體" w:hAnsi="微軟正黑體" w:hint="eastAsia"/>
          <w:color w:val="990000"/>
        </w:rPr>
        <w:t xml:space="preserve">　§</w:t>
      </w:r>
      <w:r w:rsidR="007E1C6F" w:rsidRPr="00A97268">
        <w:rPr>
          <w:rFonts w:ascii="微軟正黑體" w:eastAsia="微軟正黑體" w:hAnsi="微軟正黑體"/>
          <w:color w:val="990000"/>
        </w:rPr>
        <w:t>20</w:t>
      </w:r>
    </w:p>
    <w:p w14:paraId="60F27515" w14:textId="77777777" w:rsidR="002F569F"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第四章　</w:t>
      </w:r>
      <w:hyperlink w:anchor="_第四章__投資管理" w:history="1">
        <w:r w:rsidRPr="00A97268">
          <w:rPr>
            <w:rStyle w:val="a3"/>
            <w:rFonts w:ascii="微軟正黑體" w:eastAsia="微軟正黑體" w:hAnsi="微軟正黑體" w:hint="eastAsia"/>
          </w:rPr>
          <w:t>投資管理</w:t>
        </w:r>
      </w:hyperlink>
      <w:r w:rsidRPr="00A97268">
        <w:rPr>
          <w:rFonts w:ascii="微軟正黑體" w:eastAsia="微軟正黑體" w:hAnsi="微軟正黑體" w:hint="eastAsia"/>
          <w:color w:val="990000"/>
        </w:rPr>
        <w:t xml:space="preserve">　§</w:t>
      </w:r>
      <w:r w:rsidR="007E1C6F" w:rsidRPr="00A97268">
        <w:rPr>
          <w:rFonts w:ascii="微軟正黑體" w:eastAsia="微軟正黑體" w:hAnsi="微軟正黑體"/>
          <w:color w:val="990000"/>
        </w:rPr>
        <w:t>28</w:t>
      </w:r>
    </w:p>
    <w:p w14:paraId="50828377" w14:textId="77777777" w:rsidR="002F569F"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第五章　</w:t>
      </w:r>
      <w:hyperlink w:anchor="_第五章__法律責任" w:history="1">
        <w:r w:rsidRPr="00A97268">
          <w:rPr>
            <w:rStyle w:val="a3"/>
            <w:rFonts w:ascii="微軟正黑體" w:eastAsia="微軟正黑體" w:hAnsi="微軟正黑體" w:hint="eastAsia"/>
          </w:rPr>
          <w:t>法律責任</w:t>
        </w:r>
      </w:hyperlink>
      <w:r w:rsidRPr="00A97268">
        <w:rPr>
          <w:rFonts w:ascii="微軟正黑體" w:eastAsia="微軟正黑體" w:hAnsi="微軟正黑體" w:hint="eastAsia"/>
          <w:color w:val="990000"/>
        </w:rPr>
        <w:t xml:space="preserve">　§</w:t>
      </w:r>
      <w:r w:rsidR="007E1C6F" w:rsidRPr="00A97268">
        <w:rPr>
          <w:rFonts w:ascii="微軟正黑體" w:eastAsia="微軟正黑體" w:hAnsi="微軟正黑體"/>
          <w:color w:val="990000"/>
        </w:rPr>
        <w:t>36</w:t>
      </w:r>
    </w:p>
    <w:p w14:paraId="39FA4818" w14:textId="77777777" w:rsidR="00201E46" w:rsidRPr="00A97268" w:rsidRDefault="002F569F" w:rsidP="002F569F">
      <w:pPr>
        <w:ind w:left="142"/>
        <w:rPr>
          <w:rFonts w:ascii="微軟正黑體" w:eastAsia="微軟正黑體" w:hAnsi="微軟正黑體"/>
          <w:color w:val="990000"/>
        </w:rPr>
      </w:pPr>
      <w:r w:rsidRPr="00A97268">
        <w:rPr>
          <w:rFonts w:ascii="微軟正黑體" w:eastAsia="微軟正黑體" w:hAnsi="微軟正黑體" w:hint="eastAsia"/>
          <w:color w:val="990000"/>
        </w:rPr>
        <w:t xml:space="preserve">第六章　</w:t>
      </w:r>
      <w:hyperlink w:anchor="_第六章__附" w:history="1">
        <w:r w:rsidRPr="00A97268">
          <w:rPr>
            <w:rStyle w:val="a3"/>
            <w:rFonts w:ascii="微軟正黑體" w:eastAsia="微軟正黑體" w:hAnsi="微軟正黑體" w:hint="eastAsia"/>
          </w:rPr>
          <w:t>附則</w:t>
        </w:r>
      </w:hyperlink>
      <w:r w:rsidRPr="00A97268">
        <w:rPr>
          <w:rFonts w:ascii="微軟正黑體" w:eastAsia="微軟正黑體" w:hAnsi="微軟正黑體" w:hint="eastAsia"/>
          <w:color w:val="990000"/>
        </w:rPr>
        <w:t xml:space="preserve">　§</w:t>
      </w:r>
      <w:r w:rsidR="008E183F" w:rsidRPr="00A97268">
        <w:rPr>
          <w:rFonts w:ascii="微軟正黑體" w:eastAsia="微軟正黑體" w:hAnsi="微軟正黑體"/>
          <w:color w:val="990000"/>
        </w:rPr>
        <w:t>40</w:t>
      </w:r>
    </w:p>
    <w:p w14:paraId="51AC8EB8" w14:textId="77777777" w:rsidR="0058050C" w:rsidRPr="00A97268" w:rsidRDefault="0058050C" w:rsidP="0058050C">
      <w:pPr>
        <w:rPr>
          <w:rFonts w:ascii="微軟正黑體" w:eastAsia="微軟正黑體" w:hAnsi="微軟正黑體"/>
        </w:rPr>
      </w:pPr>
    </w:p>
    <w:p w14:paraId="63EC060D" w14:textId="1034959A" w:rsidR="003C7F50" w:rsidRPr="00A97268" w:rsidRDefault="00CC253B" w:rsidP="003C7F50">
      <w:pPr>
        <w:pStyle w:val="1"/>
        <w:rPr>
          <w:rFonts w:ascii="微軟正黑體" w:eastAsia="微軟正黑體" w:hAnsi="微軟正黑體"/>
          <w:color w:val="990000"/>
          <w:szCs w:val="27"/>
          <w:lang w:val="zh-TW"/>
        </w:rPr>
      </w:pPr>
      <w:r>
        <w:rPr>
          <w:rFonts w:ascii="微軟正黑體" w:eastAsia="微軟正黑體" w:hAnsi="微軟正黑體"/>
          <w:color w:val="990000"/>
        </w:rPr>
        <w:t>【法規內容】</w:t>
      </w:r>
    </w:p>
    <w:p w14:paraId="70B11F6C" w14:textId="77777777" w:rsidR="0086194A" w:rsidRPr="00A97268" w:rsidRDefault="0086194A" w:rsidP="002F569F">
      <w:pPr>
        <w:pStyle w:val="1"/>
        <w:spacing w:beforeLines="30" w:before="108" w:beforeAutospacing="0" w:afterLines="30" w:after="108" w:afterAutospacing="0"/>
        <w:rPr>
          <w:rFonts w:ascii="微軟正黑體" w:eastAsia="微軟正黑體" w:hAnsi="微軟正黑體"/>
        </w:rPr>
      </w:pPr>
      <w:bookmarkStart w:id="7" w:name="_第一章__總"/>
      <w:bookmarkEnd w:id="7"/>
      <w:r w:rsidRPr="00A97268">
        <w:rPr>
          <w:rFonts w:ascii="微軟正黑體" w:eastAsia="微軟正黑體" w:hAnsi="微軟正黑體"/>
        </w:rPr>
        <w:t xml:space="preserve">第一章　　總　則 </w:t>
      </w:r>
    </w:p>
    <w:p w14:paraId="66EE6986" w14:textId="77777777" w:rsidR="00CC253B" w:rsidRDefault="0086194A" w:rsidP="0086194A">
      <w:pPr>
        <w:pStyle w:val="2"/>
        <w:rPr>
          <w:rFonts w:ascii="微軟正黑體" w:eastAsia="微軟正黑體" w:hAnsi="微軟正黑體"/>
        </w:rPr>
      </w:pPr>
      <w:bookmarkStart w:id="8" w:name="a1"/>
      <w:bookmarkEnd w:id="8"/>
      <w:r w:rsidRPr="00A97268">
        <w:rPr>
          <w:rFonts w:ascii="微軟正黑體" w:eastAsia="微軟正黑體" w:hAnsi="微軟正黑體"/>
        </w:rPr>
        <w:t>第1</w:t>
      </w:r>
      <w:r w:rsidR="00CC253B">
        <w:rPr>
          <w:rFonts w:ascii="微軟正黑體" w:eastAsia="微軟正黑體" w:hAnsi="微軟正黑體"/>
        </w:rPr>
        <w:t>條</w:t>
      </w:r>
    </w:p>
    <w:p w14:paraId="2A891A4B" w14:textId="7F8C37B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為了進一步擴大對外開放，積極促進外商投資，保護外商投資合法權益，規範外商投資管理，推動形成全面開放新格局，促進社會主義市場經濟健康發展，根據</w:t>
      </w:r>
      <w:hyperlink r:id="rId14" w:history="1">
        <w:r w:rsidR="0086194A" w:rsidRPr="00A97268">
          <w:rPr>
            <w:rStyle w:val="a3"/>
            <w:rFonts w:ascii="微軟正黑體" w:eastAsia="微軟正黑體" w:hAnsi="微軟正黑體"/>
          </w:rPr>
          <w:t>憲法</w:t>
        </w:r>
      </w:hyperlink>
      <w:r w:rsidR="0086194A" w:rsidRPr="00A97268">
        <w:rPr>
          <w:rFonts w:ascii="微軟正黑體" w:eastAsia="微軟正黑體" w:hAnsi="微軟正黑體"/>
        </w:rPr>
        <w:t>，制定本法。</w:t>
      </w:r>
    </w:p>
    <w:p w14:paraId="55AD0ED9" w14:textId="77777777" w:rsidR="00CC253B" w:rsidRDefault="0086194A" w:rsidP="0086194A">
      <w:pPr>
        <w:pStyle w:val="2"/>
        <w:rPr>
          <w:rFonts w:ascii="微軟正黑體" w:eastAsia="微軟正黑體" w:hAnsi="微軟正黑體"/>
        </w:rPr>
      </w:pPr>
      <w:bookmarkStart w:id="9" w:name="a2"/>
      <w:bookmarkEnd w:id="9"/>
      <w:r w:rsidRPr="00A97268">
        <w:rPr>
          <w:rFonts w:ascii="微軟正黑體" w:eastAsia="微軟正黑體" w:hAnsi="微軟正黑體"/>
        </w:rPr>
        <w:t>第2</w:t>
      </w:r>
      <w:r w:rsidR="00CC253B">
        <w:rPr>
          <w:rFonts w:ascii="微軟正黑體" w:eastAsia="微軟正黑體" w:hAnsi="微軟正黑體"/>
        </w:rPr>
        <w:t>條</w:t>
      </w:r>
    </w:p>
    <w:p w14:paraId="51821F7C" w14:textId="19883AB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在中華人民共和國境內（以下簡稱中國境內）的外商投資，適用本法</w:t>
      </w:r>
      <w:r>
        <w:rPr>
          <w:rFonts w:ascii="微軟正黑體" w:eastAsia="微軟正黑體" w:hAnsi="微軟正黑體"/>
        </w:rPr>
        <w:t>。</w:t>
      </w:r>
    </w:p>
    <w:p w14:paraId="31B7D6AF" w14:textId="04309C0A" w:rsidR="00CC253B"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color w:val="17365D"/>
        </w:rPr>
        <w:t>本法所稱外商投資，是指外國的自然人、企業或者其他組織（以下稱外國投資者）直接或者間接在中國境內進行的投資活動，包括下列情形：</w:t>
      </w:r>
    </w:p>
    <w:p w14:paraId="74B3C040" w14:textId="77777777" w:rsidR="00CC253B" w:rsidRPr="00A97268" w:rsidRDefault="00CC253B" w:rsidP="0086194A">
      <w:pPr>
        <w:ind w:left="142"/>
        <w:jc w:val="both"/>
        <w:rPr>
          <w:rFonts w:ascii="微軟正黑體" w:eastAsia="微軟正黑體" w:hAnsi="微軟正黑體"/>
          <w:color w:val="17365D"/>
        </w:rPr>
      </w:pPr>
      <w:r w:rsidRPr="00A97268">
        <w:rPr>
          <w:rFonts w:ascii="微軟正黑體" w:eastAsia="微軟正黑體" w:hAnsi="微軟正黑體"/>
          <w:color w:val="17365D"/>
        </w:rPr>
        <w:t xml:space="preserve">　　（一）外國投資者單獨或者與其他投資者共同在中國境內設立外商投資企業； </w:t>
      </w:r>
    </w:p>
    <w:p w14:paraId="2EE35ECC" w14:textId="77777777" w:rsidR="00CC253B" w:rsidRPr="00A97268" w:rsidRDefault="00CC253B" w:rsidP="0086194A">
      <w:pPr>
        <w:ind w:left="142"/>
        <w:jc w:val="both"/>
        <w:rPr>
          <w:rFonts w:ascii="微軟正黑體" w:eastAsia="微軟正黑體" w:hAnsi="微軟正黑體"/>
          <w:color w:val="17365D"/>
        </w:rPr>
      </w:pPr>
      <w:r w:rsidRPr="00A97268">
        <w:rPr>
          <w:rFonts w:ascii="微軟正黑體" w:eastAsia="微軟正黑體" w:hAnsi="微軟正黑體"/>
          <w:color w:val="17365D"/>
        </w:rPr>
        <w:t xml:space="preserve">　　（二）外國投資者取得中國境內企業的股份、股權、財產份額或者其他類似權益； </w:t>
      </w:r>
    </w:p>
    <w:p w14:paraId="63B88236" w14:textId="77777777" w:rsidR="00CC253B" w:rsidRPr="00A97268" w:rsidRDefault="00CC253B" w:rsidP="0086194A">
      <w:pPr>
        <w:ind w:left="142"/>
        <w:jc w:val="both"/>
        <w:rPr>
          <w:rFonts w:ascii="微軟正黑體" w:eastAsia="微軟正黑體" w:hAnsi="微軟正黑體"/>
          <w:color w:val="17365D"/>
        </w:rPr>
      </w:pPr>
      <w:r w:rsidRPr="00A97268">
        <w:rPr>
          <w:rFonts w:ascii="微軟正黑體" w:eastAsia="微軟正黑體" w:hAnsi="微軟正黑體"/>
          <w:color w:val="17365D"/>
        </w:rPr>
        <w:t xml:space="preserve">　　（三）外國投資者單獨或者與其他投資者共同在中國境內投資新建項目； </w:t>
      </w:r>
    </w:p>
    <w:p w14:paraId="51B7D2A9" w14:textId="3868441C" w:rsidR="00CC253B" w:rsidRDefault="00CC253B" w:rsidP="0086194A">
      <w:pPr>
        <w:ind w:left="142"/>
        <w:jc w:val="both"/>
        <w:rPr>
          <w:rFonts w:ascii="微軟正黑體" w:eastAsia="微軟正黑體" w:hAnsi="微軟正黑體"/>
        </w:rPr>
      </w:pPr>
      <w:r w:rsidRPr="00A97268">
        <w:rPr>
          <w:rFonts w:ascii="微軟正黑體" w:eastAsia="微軟正黑體" w:hAnsi="微軟正黑體"/>
          <w:color w:val="17365D"/>
        </w:rPr>
        <w:t xml:space="preserve">　　（四）法律、行政法規或者國務院規定的其他方式的投資</w:t>
      </w:r>
      <w:r>
        <w:rPr>
          <w:rFonts w:ascii="微軟正黑體" w:eastAsia="微軟正黑體" w:hAnsi="微軟正黑體"/>
        </w:rPr>
        <w:t>。</w:t>
      </w:r>
    </w:p>
    <w:p w14:paraId="2C866E73" w14:textId="49D432F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3</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本法所稱外商投資企業，是指全部或者部分由外國投資者投資，依照中國法律在中國境內經登記註冊設立的</w:t>
      </w:r>
      <w:r w:rsidR="0086194A" w:rsidRPr="00A97268">
        <w:rPr>
          <w:rFonts w:ascii="微軟正黑體" w:eastAsia="微軟正黑體" w:hAnsi="微軟正黑體"/>
        </w:rPr>
        <w:lastRenderedPageBreak/>
        <w:t>企業。</w:t>
      </w:r>
    </w:p>
    <w:p w14:paraId="33EEDA9E" w14:textId="77777777" w:rsidR="00CC253B" w:rsidRDefault="0086194A" w:rsidP="0086194A">
      <w:pPr>
        <w:pStyle w:val="2"/>
        <w:rPr>
          <w:rFonts w:ascii="微軟正黑體" w:eastAsia="微軟正黑體" w:hAnsi="微軟正黑體"/>
        </w:rPr>
      </w:pPr>
      <w:bookmarkStart w:id="10" w:name="a3"/>
      <w:bookmarkEnd w:id="10"/>
      <w:r w:rsidRPr="00A97268">
        <w:rPr>
          <w:rFonts w:ascii="微軟正黑體" w:eastAsia="微軟正黑體" w:hAnsi="微軟正黑體"/>
        </w:rPr>
        <w:t>第3</w:t>
      </w:r>
      <w:r w:rsidR="00CC253B">
        <w:rPr>
          <w:rFonts w:ascii="微軟正黑體" w:eastAsia="微軟正黑體" w:hAnsi="微軟正黑體"/>
        </w:rPr>
        <w:t>條</w:t>
      </w:r>
    </w:p>
    <w:p w14:paraId="3EB21D19" w14:textId="3607A658"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國家堅持對外開放的基本國策，鼓勵外國投資者依法在中國境內投資</w:t>
      </w:r>
      <w:r>
        <w:rPr>
          <w:rFonts w:ascii="微軟正黑體" w:eastAsia="微軟正黑體" w:hAnsi="微軟正黑體"/>
        </w:rPr>
        <w:t>。</w:t>
      </w:r>
    </w:p>
    <w:p w14:paraId="222B8FA8" w14:textId="6E99A070"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國家實行高水平投資自由化便利化政策，建立和完善外商投資促進機制，營造穩定、透明、可預期和公平競爭的市場環境。</w:t>
      </w:r>
    </w:p>
    <w:p w14:paraId="4A029AAA" w14:textId="77777777" w:rsidR="00CC253B" w:rsidRDefault="0086194A" w:rsidP="0086194A">
      <w:pPr>
        <w:pStyle w:val="2"/>
        <w:rPr>
          <w:rFonts w:ascii="微軟正黑體" w:eastAsia="微軟正黑體" w:hAnsi="微軟正黑體"/>
        </w:rPr>
      </w:pPr>
      <w:bookmarkStart w:id="11" w:name="a4"/>
      <w:bookmarkEnd w:id="11"/>
      <w:r w:rsidRPr="00A97268">
        <w:rPr>
          <w:rFonts w:ascii="微軟正黑體" w:eastAsia="微軟正黑體" w:hAnsi="微軟正黑體"/>
        </w:rPr>
        <w:t>第4</w:t>
      </w:r>
      <w:r w:rsidR="00CC253B">
        <w:rPr>
          <w:rFonts w:ascii="微軟正黑體" w:eastAsia="微軟正黑體" w:hAnsi="微軟正黑體"/>
        </w:rPr>
        <w:t>條</w:t>
      </w:r>
    </w:p>
    <w:p w14:paraId="07262D81" w14:textId="78FB915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國家對外商投資實行准入前國民待遇加負面清單管理制度</w:t>
      </w:r>
      <w:r>
        <w:rPr>
          <w:rFonts w:ascii="微軟正黑體" w:eastAsia="微軟正黑體" w:hAnsi="微軟正黑體"/>
        </w:rPr>
        <w:t>。</w:t>
      </w:r>
    </w:p>
    <w:p w14:paraId="5FAAF869" w14:textId="1C73BD7B"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color w:val="17365D"/>
        </w:rPr>
        <w:t>前款所稱准入前國民待遇，是指在投資准入階段給予外國投資者及其投資不低於本國投資者及其投資的待遇；所稱負面清單，是指國家規定在特定領域對外商投資實施的准入特別管理措施。國家對負面清單之外的外商投資，給予國民待遇</w:t>
      </w:r>
      <w:r>
        <w:rPr>
          <w:rFonts w:ascii="微軟正黑體" w:eastAsia="微軟正黑體" w:hAnsi="微軟正黑體"/>
        </w:rPr>
        <w:t>。</w:t>
      </w:r>
    </w:p>
    <w:p w14:paraId="009DDCA1" w14:textId="1FCF5A64"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3</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rPr>
        <w:t>負面清單由國務院發布或者批准發布</w:t>
      </w:r>
      <w:r>
        <w:rPr>
          <w:rFonts w:ascii="微軟正黑體" w:eastAsia="微軟正黑體" w:hAnsi="微軟正黑體"/>
        </w:rPr>
        <w:t>。</w:t>
      </w:r>
    </w:p>
    <w:p w14:paraId="60B222D5" w14:textId="0886CE3F"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4</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中華人民共和國締結或者參加的國際條約、協定對外國投資者准入待遇有更優惠規定的，可以按照相關規定執行。</w:t>
      </w:r>
    </w:p>
    <w:p w14:paraId="0996F4EF" w14:textId="77777777" w:rsidR="00CC253B" w:rsidRDefault="0086194A" w:rsidP="0086194A">
      <w:pPr>
        <w:pStyle w:val="2"/>
        <w:rPr>
          <w:rFonts w:ascii="微軟正黑體" w:eastAsia="微軟正黑體" w:hAnsi="微軟正黑體"/>
        </w:rPr>
      </w:pPr>
      <w:bookmarkStart w:id="12" w:name="a5"/>
      <w:bookmarkEnd w:id="12"/>
      <w:r w:rsidRPr="00A97268">
        <w:rPr>
          <w:rFonts w:ascii="微軟正黑體" w:eastAsia="微軟正黑體" w:hAnsi="微軟正黑體"/>
        </w:rPr>
        <w:t>第5</w:t>
      </w:r>
      <w:r w:rsidR="00CC253B">
        <w:rPr>
          <w:rFonts w:ascii="微軟正黑體" w:eastAsia="微軟正黑體" w:hAnsi="微軟正黑體"/>
        </w:rPr>
        <w:t>條</w:t>
      </w:r>
    </w:p>
    <w:p w14:paraId="706D2C65" w14:textId="36267161"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國家依法保護外國投資者在中國境內的投資、收益和其他合法權益。</w:t>
      </w:r>
    </w:p>
    <w:p w14:paraId="3C532B0C" w14:textId="77777777" w:rsidR="00CC253B" w:rsidRDefault="0086194A" w:rsidP="0086194A">
      <w:pPr>
        <w:pStyle w:val="2"/>
        <w:rPr>
          <w:rFonts w:ascii="微軟正黑體" w:eastAsia="微軟正黑體" w:hAnsi="微軟正黑體"/>
        </w:rPr>
      </w:pPr>
      <w:bookmarkStart w:id="13" w:name="a6"/>
      <w:bookmarkEnd w:id="13"/>
      <w:r w:rsidRPr="00A97268">
        <w:rPr>
          <w:rFonts w:ascii="微軟正黑體" w:eastAsia="微軟正黑體" w:hAnsi="微軟正黑體"/>
        </w:rPr>
        <w:t>第6</w:t>
      </w:r>
      <w:r w:rsidR="00CC253B">
        <w:rPr>
          <w:rFonts w:ascii="微軟正黑體" w:eastAsia="微軟正黑體" w:hAnsi="微軟正黑體"/>
        </w:rPr>
        <w:t>條</w:t>
      </w:r>
    </w:p>
    <w:p w14:paraId="543CADCC" w14:textId="29D640EE"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在中國境內進行投資活動的外國投資者、外商投資企業，應當遵守中國法律法規，不得危害中國國家安全、損害社會公共利益。</w:t>
      </w:r>
    </w:p>
    <w:p w14:paraId="3F853655" w14:textId="77777777" w:rsidR="00CC253B" w:rsidRDefault="0086194A" w:rsidP="0086194A">
      <w:pPr>
        <w:pStyle w:val="2"/>
        <w:rPr>
          <w:rFonts w:ascii="微軟正黑體" w:eastAsia="微軟正黑體" w:hAnsi="微軟正黑體"/>
        </w:rPr>
      </w:pPr>
      <w:bookmarkStart w:id="14" w:name="a7"/>
      <w:bookmarkEnd w:id="14"/>
      <w:r w:rsidRPr="00A97268">
        <w:rPr>
          <w:rFonts w:ascii="微軟正黑體" w:eastAsia="微軟正黑體" w:hAnsi="微軟正黑體"/>
        </w:rPr>
        <w:t>第7</w:t>
      </w:r>
      <w:r w:rsidR="00CC253B">
        <w:rPr>
          <w:rFonts w:ascii="微軟正黑體" w:eastAsia="微軟正黑體" w:hAnsi="微軟正黑體"/>
        </w:rPr>
        <w:t>條</w:t>
      </w:r>
    </w:p>
    <w:p w14:paraId="20701AB7" w14:textId="7194C86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國務院商務主管部門、投資主管部門按照職責分工，開展外商投資促進、保護和管理工作；國務院其他有關部門在各自職責範圍內，負責外商投資促進、保護和管理的相關工作</w:t>
      </w:r>
      <w:r>
        <w:rPr>
          <w:rFonts w:ascii="微軟正黑體" w:eastAsia="微軟正黑體" w:hAnsi="微軟正黑體"/>
        </w:rPr>
        <w:t>。</w:t>
      </w:r>
    </w:p>
    <w:p w14:paraId="16322A69" w14:textId="5EEBFCE0"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縣級以上地方人民政府有關部門依照法律法規和本級人民政府確定的職責分工，開展外商投資促進、保護和管理工作。</w:t>
      </w:r>
    </w:p>
    <w:p w14:paraId="035F9F91" w14:textId="77777777" w:rsidR="00CC253B" w:rsidRDefault="0086194A" w:rsidP="0086194A">
      <w:pPr>
        <w:pStyle w:val="2"/>
        <w:rPr>
          <w:rFonts w:ascii="微軟正黑體" w:eastAsia="微軟正黑體" w:hAnsi="微軟正黑體"/>
        </w:rPr>
      </w:pPr>
      <w:bookmarkStart w:id="15" w:name="a8"/>
      <w:bookmarkEnd w:id="15"/>
      <w:r w:rsidRPr="00A97268">
        <w:rPr>
          <w:rFonts w:ascii="微軟正黑體" w:eastAsia="微軟正黑體" w:hAnsi="微軟正黑體"/>
        </w:rPr>
        <w:t>第8</w:t>
      </w:r>
      <w:r w:rsidR="00CC253B">
        <w:rPr>
          <w:rFonts w:ascii="微軟正黑體" w:eastAsia="微軟正黑體" w:hAnsi="微軟正黑體"/>
        </w:rPr>
        <w:t>條</w:t>
      </w:r>
    </w:p>
    <w:p w14:paraId="5DB2664A" w14:textId="4EBB2B2C"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外商投資企業職工依法建立工會組織，開展工會活動，維護職工的合法權益。外商投資企業應當為本企業工會提供必要的活動條件</w:t>
      </w:r>
      <w:r>
        <w:rPr>
          <w:rFonts w:ascii="微軟正黑體" w:eastAsia="微軟正黑體" w:hAnsi="微軟正黑體"/>
        </w:rPr>
        <w:t>。</w:t>
      </w:r>
    </w:p>
    <w:p w14:paraId="1C31E359" w14:textId="7C4F5025" w:rsidR="002F569F" w:rsidRPr="00A97268" w:rsidRDefault="00CC253B" w:rsidP="0086194A">
      <w:pPr>
        <w:ind w:left="142"/>
        <w:jc w:val="both"/>
        <w:rPr>
          <w:rFonts w:ascii="微軟正黑體" w:eastAsia="微軟正黑體" w:hAnsi="微軟正黑體"/>
        </w:rPr>
      </w:pPr>
      <w:r>
        <w:rPr>
          <w:rFonts w:ascii="微軟正黑體" w:eastAsia="微軟正黑體" w:hAnsi="微軟正黑體"/>
        </w:rPr>
        <w:t xml:space="preserve">　　　　</w:t>
      </w:r>
      <w:r w:rsidR="004F4E98" w:rsidRPr="00A97268">
        <w:rPr>
          <w:rFonts w:ascii="微軟正黑體" w:eastAsia="微軟正黑體" w:hAnsi="微軟正黑體"/>
          <w:color w:val="808000"/>
          <w:sz w:val="18"/>
        </w:rPr>
        <w:t xml:space="preserve">　　　　　　　　　　　　　　　　　　　　　　　　　　　　　　　　　　　　　　　　　　　　　</w:t>
      </w:r>
      <w:hyperlink w:anchor="a章節索引" w:history="1">
        <w:r w:rsidR="004F4E98" w:rsidRPr="00A97268">
          <w:rPr>
            <w:rStyle w:val="a3"/>
            <w:rFonts w:ascii="微軟正黑體" w:eastAsia="微軟正黑體" w:hAnsi="微軟正黑體" w:hint="eastAsia"/>
            <w:sz w:val="18"/>
          </w:rPr>
          <w:t>回索引</w:t>
        </w:r>
      </w:hyperlink>
      <w:r w:rsidR="004F4E98" w:rsidRPr="00A97268">
        <w:rPr>
          <w:rFonts w:ascii="微軟正黑體" w:eastAsia="微軟正黑體" w:hAnsi="微軟正黑體" w:hint="eastAsia"/>
          <w:color w:val="808000"/>
          <w:sz w:val="18"/>
        </w:rPr>
        <w:t>〉〉</w:t>
      </w:r>
    </w:p>
    <w:p w14:paraId="40EB8DD8" w14:textId="77777777" w:rsidR="0086194A" w:rsidRPr="00A97268" w:rsidRDefault="0086194A" w:rsidP="007E1C6F">
      <w:pPr>
        <w:pStyle w:val="1"/>
        <w:spacing w:beforeLines="30" w:before="108" w:beforeAutospacing="0" w:afterLines="30" w:after="108" w:afterAutospacing="0"/>
        <w:rPr>
          <w:rFonts w:ascii="微軟正黑體" w:eastAsia="微軟正黑體" w:hAnsi="微軟正黑體"/>
        </w:rPr>
      </w:pPr>
      <w:bookmarkStart w:id="16" w:name="_第二章__投資促進"/>
      <w:bookmarkEnd w:id="16"/>
      <w:r w:rsidRPr="00A97268">
        <w:rPr>
          <w:rFonts w:ascii="微軟正黑體" w:eastAsia="微軟正黑體" w:hAnsi="微軟正黑體"/>
        </w:rPr>
        <w:t>第二章　　投資促進</w:t>
      </w:r>
    </w:p>
    <w:p w14:paraId="4DC96069" w14:textId="77777777" w:rsidR="00CC253B" w:rsidRDefault="0086194A" w:rsidP="0086194A">
      <w:pPr>
        <w:pStyle w:val="2"/>
        <w:rPr>
          <w:rFonts w:ascii="微軟正黑體" w:eastAsia="微軟正黑體" w:hAnsi="微軟正黑體"/>
        </w:rPr>
      </w:pPr>
      <w:bookmarkStart w:id="17" w:name="a9"/>
      <w:bookmarkEnd w:id="17"/>
      <w:r w:rsidRPr="00A97268">
        <w:rPr>
          <w:rFonts w:ascii="微軟正黑體" w:eastAsia="微軟正黑體" w:hAnsi="微軟正黑體"/>
        </w:rPr>
        <w:t>第9</w:t>
      </w:r>
      <w:r w:rsidR="00CC253B">
        <w:rPr>
          <w:rFonts w:ascii="微軟正黑體" w:eastAsia="微軟正黑體" w:hAnsi="微軟正黑體"/>
        </w:rPr>
        <w:t>條</w:t>
      </w:r>
    </w:p>
    <w:p w14:paraId="46227B60" w14:textId="160586B8"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外商投資企業依法平等適用國家支持企業發展的各項政策。</w:t>
      </w:r>
    </w:p>
    <w:p w14:paraId="3E0DE34C" w14:textId="77777777" w:rsidR="00CC253B" w:rsidRDefault="0086194A" w:rsidP="0086194A">
      <w:pPr>
        <w:pStyle w:val="2"/>
        <w:rPr>
          <w:rFonts w:ascii="微軟正黑體" w:eastAsia="微軟正黑體" w:hAnsi="微軟正黑體"/>
        </w:rPr>
      </w:pPr>
      <w:bookmarkStart w:id="18" w:name="a10"/>
      <w:bookmarkEnd w:id="18"/>
      <w:r w:rsidRPr="00A97268">
        <w:rPr>
          <w:rFonts w:ascii="微軟正黑體" w:eastAsia="微軟正黑體" w:hAnsi="微軟正黑體"/>
        </w:rPr>
        <w:t>第10</w:t>
      </w:r>
      <w:r w:rsidR="00CC253B">
        <w:rPr>
          <w:rFonts w:ascii="微軟正黑體" w:eastAsia="微軟正黑體" w:hAnsi="微軟正黑體"/>
        </w:rPr>
        <w:t>條</w:t>
      </w:r>
    </w:p>
    <w:p w14:paraId="76005117" w14:textId="6B5A42F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制定與外商投資有關的法律、法規、規章，應當採取適當方式徵求外商投資企業的意見和建議</w:t>
      </w:r>
      <w:r>
        <w:rPr>
          <w:rFonts w:ascii="微軟正黑體" w:eastAsia="微軟正黑體" w:hAnsi="微軟正黑體"/>
        </w:rPr>
        <w:t>。</w:t>
      </w:r>
    </w:p>
    <w:p w14:paraId="3B2DB25D" w14:textId="2D61B6BB"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與外商投資有關的規範性文件、裁判文書等，應當依法及時公布。</w:t>
      </w:r>
    </w:p>
    <w:p w14:paraId="1A834AEE" w14:textId="77777777" w:rsidR="00CC253B" w:rsidRDefault="0086194A" w:rsidP="0086194A">
      <w:pPr>
        <w:pStyle w:val="2"/>
        <w:rPr>
          <w:rFonts w:ascii="微軟正黑體" w:eastAsia="微軟正黑體" w:hAnsi="微軟正黑體"/>
        </w:rPr>
      </w:pPr>
      <w:bookmarkStart w:id="19" w:name="a11"/>
      <w:bookmarkEnd w:id="19"/>
      <w:r w:rsidRPr="00A97268">
        <w:rPr>
          <w:rFonts w:ascii="微軟正黑體" w:eastAsia="微軟正黑體" w:hAnsi="微軟正黑體"/>
        </w:rPr>
        <w:t>第11</w:t>
      </w:r>
      <w:r w:rsidR="00CC253B">
        <w:rPr>
          <w:rFonts w:ascii="微軟正黑體" w:eastAsia="微軟正黑體" w:hAnsi="微軟正黑體"/>
        </w:rPr>
        <w:t>條</w:t>
      </w:r>
    </w:p>
    <w:p w14:paraId="6D292801" w14:textId="742DB7F0"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國家建立健全外商投資服務體系，為外國投資者和外商投資企業提供法律法規、政策措施、投資項目資訊等</w:t>
      </w:r>
      <w:r w:rsidR="0086194A" w:rsidRPr="00A97268">
        <w:rPr>
          <w:rFonts w:ascii="微軟正黑體" w:eastAsia="微軟正黑體" w:hAnsi="微軟正黑體"/>
        </w:rPr>
        <w:lastRenderedPageBreak/>
        <w:t>方面的諮詢和服務。</w:t>
      </w:r>
    </w:p>
    <w:p w14:paraId="4FF52F19" w14:textId="77777777" w:rsidR="00CC253B" w:rsidRDefault="0086194A" w:rsidP="0086194A">
      <w:pPr>
        <w:pStyle w:val="2"/>
        <w:rPr>
          <w:rFonts w:ascii="微軟正黑體" w:eastAsia="微軟正黑體" w:hAnsi="微軟正黑體"/>
        </w:rPr>
      </w:pPr>
      <w:bookmarkStart w:id="20" w:name="a12"/>
      <w:bookmarkEnd w:id="20"/>
      <w:r w:rsidRPr="00A97268">
        <w:rPr>
          <w:rFonts w:ascii="微軟正黑體" w:eastAsia="微軟正黑體" w:hAnsi="微軟正黑體"/>
        </w:rPr>
        <w:t>第12</w:t>
      </w:r>
      <w:r w:rsidR="00CC253B">
        <w:rPr>
          <w:rFonts w:ascii="微軟正黑體" w:eastAsia="微軟正黑體" w:hAnsi="微軟正黑體"/>
        </w:rPr>
        <w:t>條</w:t>
      </w:r>
    </w:p>
    <w:p w14:paraId="50211C8C" w14:textId="2E786163"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國家與其他國家和地區、國際組織建立多邊、雙邊投資促進合作機制，加強投資領域的國際交流與合作。</w:t>
      </w:r>
    </w:p>
    <w:p w14:paraId="69B01A0A" w14:textId="77777777" w:rsidR="00CC253B" w:rsidRDefault="0086194A" w:rsidP="0086194A">
      <w:pPr>
        <w:pStyle w:val="2"/>
        <w:rPr>
          <w:rFonts w:ascii="微軟正黑體" w:eastAsia="微軟正黑體" w:hAnsi="微軟正黑體"/>
        </w:rPr>
      </w:pPr>
      <w:bookmarkStart w:id="21" w:name="a13"/>
      <w:bookmarkEnd w:id="21"/>
      <w:r w:rsidRPr="00A97268">
        <w:rPr>
          <w:rFonts w:ascii="微軟正黑體" w:eastAsia="微軟正黑體" w:hAnsi="微軟正黑體"/>
        </w:rPr>
        <w:t>第13</w:t>
      </w:r>
      <w:r w:rsidR="00CC253B">
        <w:rPr>
          <w:rFonts w:ascii="微軟正黑體" w:eastAsia="微軟正黑體" w:hAnsi="微軟正黑體"/>
        </w:rPr>
        <w:t>條</w:t>
      </w:r>
    </w:p>
    <w:p w14:paraId="3AD40D5D" w14:textId="304B5EC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國家根據需要，設立特殊經濟區域，或者在部分地區實行外商投資試驗性政策措施，促進外商投資，擴大對外開放。</w:t>
      </w:r>
    </w:p>
    <w:p w14:paraId="19999F25" w14:textId="77777777" w:rsidR="00CC253B" w:rsidRDefault="0086194A" w:rsidP="0086194A">
      <w:pPr>
        <w:pStyle w:val="2"/>
        <w:rPr>
          <w:rFonts w:ascii="微軟正黑體" w:eastAsia="微軟正黑體" w:hAnsi="微軟正黑體"/>
        </w:rPr>
      </w:pPr>
      <w:bookmarkStart w:id="22" w:name="a14"/>
      <w:bookmarkEnd w:id="22"/>
      <w:r w:rsidRPr="00A97268">
        <w:rPr>
          <w:rFonts w:ascii="微軟正黑體" w:eastAsia="微軟正黑體" w:hAnsi="微軟正黑體"/>
        </w:rPr>
        <w:t>第14</w:t>
      </w:r>
      <w:r w:rsidR="00CC253B">
        <w:rPr>
          <w:rFonts w:ascii="微軟正黑體" w:eastAsia="微軟正黑體" w:hAnsi="微軟正黑體"/>
        </w:rPr>
        <w:t>條</w:t>
      </w:r>
    </w:p>
    <w:p w14:paraId="5FDE1982" w14:textId="1B72D05F"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國家根據國民經濟和社會發展需要，鼓勵和引導外國投資者在特定行業、領域、地區投資。外國投資者、外商投資企業可以依照法律、行政法規或者國務院的規定享受優惠待遇。</w:t>
      </w:r>
    </w:p>
    <w:p w14:paraId="5A686A7A" w14:textId="77777777" w:rsidR="00CC253B" w:rsidRDefault="0086194A" w:rsidP="0086194A">
      <w:pPr>
        <w:pStyle w:val="2"/>
        <w:rPr>
          <w:rFonts w:ascii="微軟正黑體" w:eastAsia="微軟正黑體" w:hAnsi="微軟正黑體"/>
        </w:rPr>
      </w:pPr>
      <w:bookmarkStart w:id="23" w:name="a15"/>
      <w:bookmarkEnd w:id="23"/>
      <w:r w:rsidRPr="00A97268">
        <w:rPr>
          <w:rFonts w:ascii="微軟正黑體" w:eastAsia="微軟正黑體" w:hAnsi="微軟正黑體"/>
        </w:rPr>
        <w:t>第15</w:t>
      </w:r>
      <w:r w:rsidR="00CC253B">
        <w:rPr>
          <w:rFonts w:ascii="微軟正黑體" w:eastAsia="微軟正黑體" w:hAnsi="微軟正黑體"/>
        </w:rPr>
        <w:t>條</w:t>
      </w:r>
    </w:p>
    <w:p w14:paraId="5AD3C53D" w14:textId="4C59CC96"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國家保障外商投資企業依法平等參與標準制定工作，強化標準制定的資訊公開和社會監督</w:t>
      </w:r>
      <w:r>
        <w:rPr>
          <w:rFonts w:ascii="微軟正黑體" w:eastAsia="微軟正黑體" w:hAnsi="微軟正黑體"/>
        </w:rPr>
        <w:t>。</w:t>
      </w:r>
    </w:p>
    <w:p w14:paraId="7624A944" w14:textId="2263AD7E"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國家制定的強制性標準平等適用於外商投資企業。</w:t>
      </w:r>
    </w:p>
    <w:p w14:paraId="5A60B293" w14:textId="77777777" w:rsidR="00CC253B" w:rsidRDefault="0086194A" w:rsidP="0086194A">
      <w:pPr>
        <w:pStyle w:val="2"/>
        <w:rPr>
          <w:rFonts w:ascii="微軟正黑體" w:eastAsia="微軟正黑體" w:hAnsi="微軟正黑體"/>
        </w:rPr>
      </w:pPr>
      <w:bookmarkStart w:id="24" w:name="a16"/>
      <w:bookmarkEnd w:id="24"/>
      <w:r w:rsidRPr="00A97268">
        <w:rPr>
          <w:rFonts w:ascii="微軟正黑體" w:eastAsia="微軟正黑體" w:hAnsi="微軟正黑體"/>
        </w:rPr>
        <w:t>第16</w:t>
      </w:r>
      <w:r w:rsidR="00CC253B">
        <w:rPr>
          <w:rFonts w:ascii="微軟正黑體" w:eastAsia="微軟正黑體" w:hAnsi="微軟正黑體"/>
        </w:rPr>
        <w:t>條</w:t>
      </w:r>
    </w:p>
    <w:p w14:paraId="4C1EF010" w14:textId="463C11B0"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國家保障外商投資企業依法通過公平競爭參與政府採購活動。政府採購依法對外商投資企業在中國境內生產的產品、提供的服務平等對待。</w:t>
      </w:r>
    </w:p>
    <w:p w14:paraId="09639772" w14:textId="77777777" w:rsidR="00CC253B" w:rsidRDefault="0086194A" w:rsidP="0086194A">
      <w:pPr>
        <w:pStyle w:val="2"/>
        <w:rPr>
          <w:rFonts w:ascii="微軟正黑體" w:eastAsia="微軟正黑體" w:hAnsi="微軟正黑體"/>
        </w:rPr>
      </w:pPr>
      <w:bookmarkStart w:id="25" w:name="a17"/>
      <w:bookmarkEnd w:id="25"/>
      <w:r w:rsidRPr="00A97268">
        <w:rPr>
          <w:rFonts w:ascii="微軟正黑體" w:eastAsia="微軟正黑體" w:hAnsi="微軟正黑體"/>
        </w:rPr>
        <w:t>第17</w:t>
      </w:r>
      <w:r w:rsidR="00CC253B">
        <w:rPr>
          <w:rFonts w:ascii="微軟正黑體" w:eastAsia="微軟正黑體" w:hAnsi="微軟正黑體"/>
        </w:rPr>
        <w:t>條</w:t>
      </w:r>
    </w:p>
    <w:p w14:paraId="5F02A5A6" w14:textId="3049FFBA"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外商投資企業可以依法通過公開發行股票、公司債券等證券和其他方式進行融資。</w:t>
      </w:r>
    </w:p>
    <w:p w14:paraId="7D1AEE4B" w14:textId="77777777" w:rsidR="00CC253B" w:rsidRDefault="0086194A" w:rsidP="0086194A">
      <w:pPr>
        <w:pStyle w:val="2"/>
        <w:rPr>
          <w:rFonts w:ascii="微軟正黑體" w:eastAsia="微軟正黑體" w:hAnsi="微軟正黑體"/>
        </w:rPr>
      </w:pPr>
      <w:bookmarkStart w:id="26" w:name="a18"/>
      <w:bookmarkEnd w:id="26"/>
      <w:r w:rsidRPr="00A97268">
        <w:rPr>
          <w:rFonts w:ascii="微軟正黑體" w:eastAsia="微軟正黑體" w:hAnsi="微軟正黑體"/>
        </w:rPr>
        <w:t>第18</w:t>
      </w:r>
      <w:r w:rsidR="00CC253B">
        <w:rPr>
          <w:rFonts w:ascii="微軟正黑體" w:eastAsia="微軟正黑體" w:hAnsi="微軟正黑體"/>
        </w:rPr>
        <w:t>條</w:t>
      </w:r>
    </w:p>
    <w:p w14:paraId="3AC8AAC9" w14:textId="0635A4DB"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縣級以上地方人民政府可以根據法律、行政法規、地方性法規的規定，在法定權限內制定外商投資促進和便利化政策措施。</w:t>
      </w:r>
    </w:p>
    <w:p w14:paraId="5DE862EA" w14:textId="77777777" w:rsidR="00CC253B" w:rsidRDefault="0086194A" w:rsidP="0086194A">
      <w:pPr>
        <w:pStyle w:val="2"/>
        <w:rPr>
          <w:rFonts w:ascii="微軟正黑體" w:eastAsia="微軟正黑體" w:hAnsi="微軟正黑體"/>
        </w:rPr>
      </w:pPr>
      <w:bookmarkStart w:id="27" w:name="a19"/>
      <w:bookmarkEnd w:id="27"/>
      <w:r w:rsidRPr="00A97268">
        <w:rPr>
          <w:rFonts w:ascii="微軟正黑體" w:eastAsia="微軟正黑體" w:hAnsi="微軟正黑體"/>
        </w:rPr>
        <w:t>第19</w:t>
      </w:r>
      <w:r w:rsidR="00CC253B">
        <w:rPr>
          <w:rFonts w:ascii="微軟正黑體" w:eastAsia="微軟正黑體" w:hAnsi="微軟正黑體"/>
        </w:rPr>
        <w:t>條</w:t>
      </w:r>
    </w:p>
    <w:p w14:paraId="3A9C2EA7" w14:textId="32595912"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各級人民政府及其有關部門應當按照便利、高效、透明的原則，簡化辦事程序，提高辦事效率，優化政務服務，進一步提高外商投資服務水平</w:t>
      </w:r>
      <w:r>
        <w:rPr>
          <w:rFonts w:ascii="微軟正黑體" w:eastAsia="微軟正黑體" w:hAnsi="微軟正黑體"/>
        </w:rPr>
        <w:t>。</w:t>
      </w:r>
    </w:p>
    <w:p w14:paraId="7A3A23CD" w14:textId="2D17CB73" w:rsidR="00CC253B"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有關主管部門應當編製和公布外商投資指引，為外國投資者和外商投資企業提供服務和便利</w:t>
      </w:r>
      <w:r>
        <w:rPr>
          <w:rFonts w:ascii="微軟正黑體" w:eastAsia="微軟正黑體" w:hAnsi="微軟正黑體"/>
          <w:color w:val="17365D"/>
        </w:rPr>
        <w:t>。</w:t>
      </w:r>
    </w:p>
    <w:p w14:paraId="29FB97CC" w14:textId="09DF9A6F" w:rsidR="007E1C6F" w:rsidRPr="00A97268" w:rsidRDefault="00CC253B" w:rsidP="0086194A">
      <w:pPr>
        <w:ind w:left="142"/>
        <w:jc w:val="both"/>
        <w:rPr>
          <w:rFonts w:ascii="微軟正黑體" w:eastAsia="微軟正黑體" w:hAnsi="微軟正黑體"/>
        </w:rPr>
      </w:pPr>
      <w:r>
        <w:rPr>
          <w:rFonts w:ascii="微軟正黑體" w:eastAsia="微軟正黑體" w:hAnsi="微軟正黑體"/>
          <w:color w:val="17365D"/>
        </w:rPr>
        <w:t xml:space="preserve">　　　　</w:t>
      </w:r>
      <w:r w:rsidR="004F4E98" w:rsidRPr="00A97268">
        <w:rPr>
          <w:rFonts w:ascii="微軟正黑體" w:eastAsia="微軟正黑體" w:hAnsi="微軟正黑體"/>
          <w:color w:val="808000"/>
          <w:sz w:val="18"/>
        </w:rPr>
        <w:t xml:space="preserve">　　　　　　　　　　　　　　　　　　　　　　　　　　　　　　　　　　　　　　　　　　　　　</w:t>
      </w:r>
      <w:hyperlink w:anchor="a章節索引" w:history="1">
        <w:r w:rsidR="004F4E98" w:rsidRPr="00A97268">
          <w:rPr>
            <w:rStyle w:val="a3"/>
            <w:rFonts w:ascii="微軟正黑體" w:eastAsia="微軟正黑體" w:hAnsi="微軟正黑體" w:hint="eastAsia"/>
            <w:sz w:val="18"/>
          </w:rPr>
          <w:t>回索引</w:t>
        </w:r>
      </w:hyperlink>
      <w:r w:rsidR="004F4E98" w:rsidRPr="00A97268">
        <w:rPr>
          <w:rFonts w:ascii="微軟正黑體" w:eastAsia="微軟正黑體" w:hAnsi="微軟正黑體" w:hint="eastAsia"/>
          <w:color w:val="808000"/>
          <w:sz w:val="18"/>
        </w:rPr>
        <w:t>〉〉</w:t>
      </w:r>
    </w:p>
    <w:p w14:paraId="33FB436E" w14:textId="77777777" w:rsidR="0086194A" w:rsidRPr="00A97268" w:rsidRDefault="0086194A" w:rsidP="007E1C6F">
      <w:pPr>
        <w:pStyle w:val="1"/>
        <w:spacing w:beforeLines="30" w:before="108" w:beforeAutospacing="0" w:afterLines="30" w:after="108" w:afterAutospacing="0"/>
        <w:rPr>
          <w:rFonts w:ascii="微軟正黑體" w:eastAsia="微軟正黑體" w:hAnsi="微軟正黑體"/>
        </w:rPr>
      </w:pPr>
      <w:bookmarkStart w:id="28" w:name="_第三章__投資保護"/>
      <w:bookmarkEnd w:id="28"/>
      <w:r w:rsidRPr="00A97268">
        <w:rPr>
          <w:rFonts w:ascii="微軟正黑體" w:eastAsia="微軟正黑體" w:hAnsi="微軟正黑體"/>
        </w:rPr>
        <w:t>第三章　　投資保護</w:t>
      </w:r>
    </w:p>
    <w:p w14:paraId="53180499" w14:textId="77777777" w:rsidR="00CC253B" w:rsidRDefault="0086194A" w:rsidP="0086194A">
      <w:pPr>
        <w:pStyle w:val="2"/>
        <w:rPr>
          <w:rFonts w:ascii="微軟正黑體" w:eastAsia="微軟正黑體" w:hAnsi="微軟正黑體"/>
        </w:rPr>
      </w:pPr>
      <w:bookmarkStart w:id="29" w:name="a20"/>
      <w:bookmarkEnd w:id="29"/>
      <w:r w:rsidRPr="00A97268">
        <w:rPr>
          <w:rFonts w:ascii="微軟正黑體" w:eastAsia="微軟正黑體" w:hAnsi="微軟正黑體"/>
        </w:rPr>
        <w:t>第20</w:t>
      </w:r>
      <w:r w:rsidR="00CC253B">
        <w:rPr>
          <w:rFonts w:ascii="微軟正黑體" w:eastAsia="微軟正黑體" w:hAnsi="微軟正黑體"/>
        </w:rPr>
        <w:t>條</w:t>
      </w:r>
    </w:p>
    <w:p w14:paraId="3A11EBD5" w14:textId="0075A290"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國家對外國投資者的投資不實行徵收</w:t>
      </w:r>
      <w:r>
        <w:rPr>
          <w:rFonts w:ascii="微軟正黑體" w:eastAsia="微軟正黑體" w:hAnsi="微軟正黑體"/>
        </w:rPr>
        <w:t>。</w:t>
      </w:r>
    </w:p>
    <w:p w14:paraId="6CC9BCD0" w14:textId="2562978A"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在特殊情況下，國家為了公共利益的需要，可以依照法律規定對外國投資者的投資實行徵收或者徵用。徵收、徵用應當依照法定程序進行，並及時給予公平、合理的補償。</w:t>
      </w:r>
    </w:p>
    <w:p w14:paraId="266811A6" w14:textId="77777777" w:rsidR="00CC253B" w:rsidRDefault="0086194A" w:rsidP="0086194A">
      <w:pPr>
        <w:pStyle w:val="2"/>
        <w:rPr>
          <w:rFonts w:ascii="微軟正黑體" w:eastAsia="微軟正黑體" w:hAnsi="微軟正黑體"/>
        </w:rPr>
      </w:pPr>
      <w:bookmarkStart w:id="30" w:name="a21"/>
      <w:bookmarkEnd w:id="30"/>
      <w:r w:rsidRPr="00A97268">
        <w:rPr>
          <w:rFonts w:ascii="微軟正黑體" w:eastAsia="微軟正黑體" w:hAnsi="微軟正黑體"/>
        </w:rPr>
        <w:t>第21</w:t>
      </w:r>
      <w:r w:rsidR="00CC253B">
        <w:rPr>
          <w:rFonts w:ascii="微軟正黑體" w:eastAsia="微軟正黑體" w:hAnsi="微軟正黑體"/>
        </w:rPr>
        <w:t>條</w:t>
      </w:r>
    </w:p>
    <w:p w14:paraId="267ACF5E" w14:textId="4E24367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外國投資者在中國境內的出資、利潤、資本收益、資產處置所得、知識產權許可使用費、依法獲得的補償或者賠償、清算所得等，可以依法以人民幣或者外匯自由匯入、匯出。</w:t>
      </w:r>
    </w:p>
    <w:p w14:paraId="08B68508" w14:textId="77777777" w:rsidR="00CC253B" w:rsidRDefault="0086194A" w:rsidP="0086194A">
      <w:pPr>
        <w:pStyle w:val="2"/>
        <w:rPr>
          <w:rFonts w:ascii="微軟正黑體" w:eastAsia="微軟正黑體" w:hAnsi="微軟正黑體"/>
        </w:rPr>
      </w:pPr>
      <w:bookmarkStart w:id="31" w:name="a22"/>
      <w:bookmarkEnd w:id="31"/>
      <w:r w:rsidRPr="00A97268">
        <w:rPr>
          <w:rFonts w:ascii="微軟正黑體" w:eastAsia="微軟正黑體" w:hAnsi="微軟正黑體"/>
        </w:rPr>
        <w:lastRenderedPageBreak/>
        <w:t>第22</w:t>
      </w:r>
      <w:r w:rsidR="00CC253B">
        <w:rPr>
          <w:rFonts w:ascii="微軟正黑體" w:eastAsia="微軟正黑體" w:hAnsi="微軟正黑體"/>
        </w:rPr>
        <w:t>條</w:t>
      </w:r>
    </w:p>
    <w:p w14:paraId="714AF7D4" w14:textId="1288F176"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國家保護外國投資者和外商投資企業的知識產權，保護知識產權權利人和相關權利人的合法權益；對知識產權侵權行為，嚴格依法追究法律責任</w:t>
      </w:r>
      <w:r>
        <w:rPr>
          <w:rFonts w:ascii="微軟正黑體" w:eastAsia="微軟正黑體" w:hAnsi="微軟正黑體"/>
        </w:rPr>
        <w:t>。</w:t>
      </w:r>
    </w:p>
    <w:p w14:paraId="415C3AC0" w14:textId="5059A3B9"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國家鼓勵在外商投資過程中基於自願原則和商業規則開展技術合作。技術合作的條件由投資各方遵循公平原則平等協商確定。行政機關及其工作人員不得利用行政手段強制轉讓技術。</w:t>
      </w:r>
    </w:p>
    <w:p w14:paraId="1418F697" w14:textId="77777777" w:rsidR="00CC253B" w:rsidRDefault="0086194A" w:rsidP="0086194A">
      <w:pPr>
        <w:pStyle w:val="2"/>
        <w:rPr>
          <w:rFonts w:ascii="微軟正黑體" w:eastAsia="微軟正黑體" w:hAnsi="微軟正黑體"/>
        </w:rPr>
      </w:pPr>
      <w:bookmarkStart w:id="32" w:name="a23"/>
      <w:bookmarkEnd w:id="32"/>
      <w:r w:rsidRPr="00A97268">
        <w:rPr>
          <w:rFonts w:ascii="微軟正黑體" w:eastAsia="微軟正黑體" w:hAnsi="微軟正黑體"/>
        </w:rPr>
        <w:t>第23</w:t>
      </w:r>
      <w:r w:rsidR="00CC253B">
        <w:rPr>
          <w:rFonts w:ascii="微軟正黑體" w:eastAsia="微軟正黑體" w:hAnsi="微軟正黑體"/>
        </w:rPr>
        <w:t>條</w:t>
      </w:r>
    </w:p>
    <w:p w14:paraId="55E6B637" w14:textId="6D081AFA"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行政機關及其工作人員對於履行職責過程中知悉的外國投資者、外商投資企業的商業秘密，應當依法予以保密，不得洩露或者非法向他人提供。</w:t>
      </w:r>
    </w:p>
    <w:p w14:paraId="74AE1865" w14:textId="77777777" w:rsidR="00CC253B" w:rsidRDefault="0086194A" w:rsidP="0086194A">
      <w:pPr>
        <w:pStyle w:val="2"/>
        <w:rPr>
          <w:rFonts w:ascii="微軟正黑體" w:eastAsia="微軟正黑體" w:hAnsi="微軟正黑體"/>
        </w:rPr>
      </w:pPr>
      <w:bookmarkStart w:id="33" w:name="a24"/>
      <w:bookmarkEnd w:id="33"/>
      <w:r w:rsidRPr="00A97268">
        <w:rPr>
          <w:rFonts w:ascii="微軟正黑體" w:eastAsia="微軟正黑體" w:hAnsi="微軟正黑體"/>
        </w:rPr>
        <w:t>第24</w:t>
      </w:r>
      <w:r w:rsidR="00CC253B">
        <w:rPr>
          <w:rFonts w:ascii="微軟正黑體" w:eastAsia="微軟正黑體" w:hAnsi="微軟正黑體"/>
        </w:rPr>
        <w:t>條</w:t>
      </w:r>
    </w:p>
    <w:p w14:paraId="25383A27" w14:textId="0FB22D5F"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各級人民政府及其有關部門制定涉及外商投資的規範性文件，應當符合法律法規的規定；沒有法律、行政法規依據的，不得減損外商投資企業的合法權益或者增加其義務，不得設置市場准入和退出條件，不得干預外商投資企業的正常生產經營活動。</w:t>
      </w:r>
    </w:p>
    <w:p w14:paraId="144CBD4C" w14:textId="77777777" w:rsidR="00CC253B" w:rsidRDefault="0086194A" w:rsidP="0086194A">
      <w:pPr>
        <w:pStyle w:val="2"/>
        <w:rPr>
          <w:rFonts w:ascii="微軟正黑體" w:eastAsia="微軟正黑體" w:hAnsi="微軟正黑體"/>
        </w:rPr>
      </w:pPr>
      <w:bookmarkStart w:id="34" w:name="a25"/>
      <w:bookmarkEnd w:id="34"/>
      <w:r w:rsidRPr="00A97268">
        <w:rPr>
          <w:rFonts w:ascii="微軟正黑體" w:eastAsia="微軟正黑體" w:hAnsi="微軟正黑體"/>
        </w:rPr>
        <w:t>第25</w:t>
      </w:r>
      <w:r w:rsidR="00CC253B">
        <w:rPr>
          <w:rFonts w:ascii="微軟正黑體" w:eastAsia="微軟正黑體" w:hAnsi="微軟正黑體"/>
        </w:rPr>
        <w:t>條</w:t>
      </w:r>
    </w:p>
    <w:p w14:paraId="7C8FFAC9" w14:textId="2FEFBCF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地方各級人民政府及其有關部門應當履行向外國投資者、外商投資企業依法作出的政策承諾以及依法訂立的各類合同</w:t>
      </w:r>
      <w:r>
        <w:rPr>
          <w:rFonts w:ascii="微軟正黑體" w:eastAsia="微軟正黑體" w:hAnsi="微軟正黑體"/>
        </w:rPr>
        <w:t>。</w:t>
      </w:r>
    </w:p>
    <w:p w14:paraId="524E1B43" w14:textId="51839F0A"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因國家利益、社會公共利益需要改變政策承諾、合同約定的，應當依照法定權限和程序進行，並依法對外國投資者、外商投資企業因此受到的損失予以補償。</w:t>
      </w:r>
    </w:p>
    <w:p w14:paraId="4D6B6FE0" w14:textId="77777777" w:rsidR="00CC253B" w:rsidRDefault="0086194A" w:rsidP="0086194A">
      <w:pPr>
        <w:pStyle w:val="2"/>
        <w:rPr>
          <w:rFonts w:ascii="微軟正黑體" w:eastAsia="微軟正黑體" w:hAnsi="微軟正黑體"/>
        </w:rPr>
      </w:pPr>
      <w:bookmarkStart w:id="35" w:name="a26"/>
      <w:bookmarkEnd w:id="35"/>
      <w:r w:rsidRPr="00A97268">
        <w:rPr>
          <w:rFonts w:ascii="微軟正黑體" w:eastAsia="微軟正黑體" w:hAnsi="微軟正黑體"/>
        </w:rPr>
        <w:t>第26</w:t>
      </w:r>
      <w:r w:rsidR="00CC253B">
        <w:rPr>
          <w:rFonts w:ascii="微軟正黑體" w:eastAsia="微軟正黑體" w:hAnsi="微軟正黑體"/>
        </w:rPr>
        <w:t>條</w:t>
      </w:r>
    </w:p>
    <w:p w14:paraId="073D6C36" w14:textId="5D384930"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國家建立外商投資企業投訴工作機制，及時處理外商投資企業或者其投資者反映的問題，協調完善相關政策措施</w:t>
      </w:r>
      <w:r>
        <w:rPr>
          <w:rFonts w:ascii="微軟正黑體" w:eastAsia="微軟正黑體" w:hAnsi="微軟正黑體"/>
        </w:rPr>
        <w:t>。</w:t>
      </w:r>
    </w:p>
    <w:p w14:paraId="00CDB0DA" w14:textId="11718284"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color w:val="17365D"/>
        </w:rPr>
        <w:t>外商投資企業或者其投資者認為行政機關及其工作人員的行政行為侵犯其合法權益的，可以通過外商投資企業投訴工作機制申請協調解決</w:t>
      </w:r>
      <w:r>
        <w:rPr>
          <w:rFonts w:ascii="微軟正黑體" w:eastAsia="微軟正黑體" w:hAnsi="微軟正黑體"/>
        </w:rPr>
        <w:t>。</w:t>
      </w:r>
    </w:p>
    <w:p w14:paraId="248F2DF4" w14:textId="25AFA787"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3</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外商投資企業或者其投資者認為行政機關及其工作人員的行政行為侵犯其合法權益的，除依照前款規定通過外商投資企業投訴工作機制申請協調解決外，還可以依法申請行政復議、提起行政訴訟。</w:t>
      </w:r>
    </w:p>
    <w:p w14:paraId="394DF69A" w14:textId="77777777" w:rsidR="00CC253B" w:rsidRDefault="0086194A" w:rsidP="0086194A">
      <w:pPr>
        <w:pStyle w:val="2"/>
        <w:rPr>
          <w:rFonts w:ascii="微軟正黑體" w:eastAsia="微軟正黑體" w:hAnsi="微軟正黑體"/>
        </w:rPr>
      </w:pPr>
      <w:bookmarkStart w:id="36" w:name="a27"/>
      <w:bookmarkEnd w:id="36"/>
      <w:r w:rsidRPr="00A97268">
        <w:rPr>
          <w:rFonts w:ascii="微軟正黑體" w:eastAsia="微軟正黑體" w:hAnsi="微軟正黑體"/>
        </w:rPr>
        <w:t>第27</w:t>
      </w:r>
      <w:r w:rsidR="00CC253B">
        <w:rPr>
          <w:rFonts w:ascii="微軟正黑體" w:eastAsia="微軟正黑體" w:hAnsi="微軟正黑體"/>
        </w:rPr>
        <w:t>條</w:t>
      </w:r>
    </w:p>
    <w:p w14:paraId="7E1C5FE2" w14:textId="7D129574"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外商投資企業可以依法成立和自願參加商會、協會。商會、協會依照法律法規和章程的規定開展相關活動，維護會員的合法權益</w:t>
      </w:r>
      <w:r>
        <w:rPr>
          <w:rFonts w:ascii="微軟正黑體" w:eastAsia="微軟正黑體" w:hAnsi="微軟正黑體"/>
        </w:rPr>
        <w:t>。</w:t>
      </w:r>
    </w:p>
    <w:p w14:paraId="397835CB" w14:textId="0A71381F" w:rsidR="007E1C6F" w:rsidRPr="00A97268" w:rsidRDefault="00CC253B" w:rsidP="0086194A">
      <w:pPr>
        <w:ind w:left="142"/>
        <w:jc w:val="both"/>
        <w:rPr>
          <w:rFonts w:ascii="微軟正黑體" w:eastAsia="微軟正黑體" w:hAnsi="微軟正黑體"/>
        </w:rPr>
      </w:pPr>
      <w:r>
        <w:rPr>
          <w:rFonts w:ascii="微軟正黑體" w:eastAsia="微軟正黑體" w:hAnsi="微軟正黑體"/>
        </w:rPr>
        <w:t xml:space="preserve">　　　　</w:t>
      </w:r>
      <w:r w:rsidR="004F4E98" w:rsidRPr="00A97268">
        <w:rPr>
          <w:rFonts w:ascii="微軟正黑體" w:eastAsia="微軟正黑體" w:hAnsi="微軟正黑體"/>
          <w:color w:val="808000"/>
          <w:sz w:val="18"/>
        </w:rPr>
        <w:t xml:space="preserve">　　　　　　　　　　　　　　　　　　　　　　　　　　　　　　　　　　　　　　　　　　　　　</w:t>
      </w:r>
      <w:hyperlink w:anchor="a章節索引" w:history="1">
        <w:r w:rsidR="004F4E98" w:rsidRPr="00A97268">
          <w:rPr>
            <w:rStyle w:val="a3"/>
            <w:rFonts w:ascii="微軟正黑體" w:eastAsia="微軟正黑體" w:hAnsi="微軟正黑體" w:hint="eastAsia"/>
            <w:sz w:val="18"/>
          </w:rPr>
          <w:t>回索引</w:t>
        </w:r>
      </w:hyperlink>
      <w:r w:rsidR="004F4E98" w:rsidRPr="00A97268">
        <w:rPr>
          <w:rFonts w:ascii="微軟正黑體" w:eastAsia="微軟正黑體" w:hAnsi="微軟正黑體" w:hint="eastAsia"/>
          <w:color w:val="808000"/>
          <w:sz w:val="18"/>
        </w:rPr>
        <w:t>〉〉</w:t>
      </w:r>
    </w:p>
    <w:p w14:paraId="53B48A2E" w14:textId="77777777" w:rsidR="0086194A" w:rsidRPr="00A97268" w:rsidRDefault="0086194A" w:rsidP="007E1C6F">
      <w:pPr>
        <w:pStyle w:val="1"/>
        <w:spacing w:beforeLines="30" w:before="108" w:beforeAutospacing="0" w:afterLines="30" w:after="108" w:afterAutospacing="0"/>
        <w:rPr>
          <w:rFonts w:ascii="微軟正黑體" w:eastAsia="微軟正黑體" w:hAnsi="微軟正黑體"/>
        </w:rPr>
      </w:pPr>
      <w:bookmarkStart w:id="37" w:name="_第四章__投資管理"/>
      <w:bookmarkEnd w:id="37"/>
      <w:r w:rsidRPr="00A97268">
        <w:rPr>
          <w:rFonts w:ascii="微軟正黑體" w:eastAsia="微軟正黑體" w:hAnsi="微軟正黑體"/>
        </w:rPr>
        <w:t>第四章　　投資管理</w:t>
      </w:r>
    </w:p>
    <w:p w14:paraId="75916986" w14:textId="77777777" w:rsidR="00CC253B" w:rsidRDefault="0086194A" w:rsidP="0086194A">
      <w:pPr>
        <w:pStyle w:val="2"/>
        <w:rPr>
          <w:rFonts w:ascii="微軟正黑體" w:eastAsia="微軟正黑體" w:hAnsi="微軟正黑體"/>
        </w:rPr>
      </w:pPr>
      <w:bookmarkStart w:id="38" w:name="a28"/>
      <w:bookmarkEnd w:id="38"/>
      <w:r w:rsidRPr="00A97268">
        <w:rPr>
          <w:rFonts w:ascii="微軟正黑體" w:eastAsia="微軟正黑體" w:hAnsi="微軟正黑體"/>
        </w:rPr>
        <w:t>第28</w:t>
      </w:r>
      <w:r w:rsidR="00CC253B">
        <w:rPr>
          <w:rFonts w:ascii="微軟正黑體" w:eastAsia="微軟正黑體" w:hAnsi="微軟正黑體"/>
        </w:rPr>
        <w:t>條</w:t>
      </w:r>
    </w:p>
    <w:p w14:paraId="51134AC3" w14:textId="70C89CED"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外商投資准入負面清單規定禁止投資的領域，外國投資者不得投資</w:t>
      </w:r>
      <w:r>
        <w:rPr>
          <w:rFonts w:ascii="微軟正黑體" w:eastAsia="微軟正黑體" w:hAnsi="微軟正黑體"/>
        </w:rPr>
        <w:t>。</w:t>
      </w:r>
    </w:p>
    <w:p w14:paraId="4066B7F9" w14:textId="5DE7038A"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color w:val="17365D"/>
        </w:rPr>
        <w:t>外商投資准入負面清單規定限制投資的領域，外國投資者進行投資應當符合負面清單規定的條件</w:t>
      </w:r>
      <w:r>
        <w:rPr>
          <w:rFonts w:ascii="微軟正黑體" w:eastAsia="微軟正黑體" w:hAnsi="微軟正黑體"/>
        </w:rPr>
        <w:t>。</w:t>
      </w:r>
    </w:p>
    <w:p w14:paraId="04C4EAE0" w14:textId="457293A6"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3</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外商投資准入負面清單以外的領域，按照內外資一致的原則實施管理。</w:t>
      </w:r>
    </w:p>
    <w:p w14:paraId="31C33D1D" w14:textId="77777777" w:rsidR="00CC253B" w:rsidRDefault="0086194A" w:rsidP="0086194A">
      <w:pPr>
        <w:pStyle w:val="2"/>
        <w:rPr>
          <w:rFonts w:ascii="微軟正黑體" w:eastAsia="微軟正黑體" w:hAnsi="微軟正黑體"/>
        </w:rPr>
      </w:pPr>
      <w:bookmarkStart w:id="39" w:name="a29"/>
      <w:bookmarkEnd w:id="39"/>
      <w:r w:rsidRPr="00A97268">
        <w:rPr>
          <w:rFonts w:ascii="微軟正黑體" w:eastAsia="微軟正黑體" w:hAnsi="微軟正黑體"/>
        </w:rPr>
        <w:t>第29</w:t>
      </w:r>
      <w:r w:rsidR="00CC253B">
        <w:rPr>
          <w:rFonts w:ascii="微軟正黑體" w:eastAsia="微軟正黑體" w:hAnsi="微軟正黑體"/>
        </w:rPr>
        <w:t>條</w:t>
      </w:r>
    </w:p>
    <w:p w14:paraId="0DA01450" w14:textId="60B17CFD"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外商投資需要辦理投資項目核准、備案的，按照國家有關規定執行。</w:t>
      </w:r>
    </w:p>
    <w:p w14:paraId="510CFA74" w14:textId="77777777" w:rsidR="00CC253B" w:rsidRDefault="0086194A" w:rsidP="0086194A">
      <w:pPr>
        <w:pStyle w:val="2"/>
        <w:rPr>
          <w:rFonts w:ascii="微軟正黑體" w:eastAsia="微軟正黑體" w:hAnsi="微軟正黑體"/>
        </w:rPr>
      </w:pPr>
      <w:bookmarkStart w:id="40" w:name="a30"/>
      <w:bookmarkEnd w:id="40"/>
      <w:r w:rsidRPr="00A97268">
        <w:rPr>
          <w:rFonts w:ascii="微軟正黑體" w:eastAsia="微軟正黑體" w:hAnsi="微軟正黑體"/>
        </w:rPr>
        <w:lastRenderedPageBreak/>
        <w:t>第30</w:t>
      </w:r>
      <w:r w:rsidR="00CC253B">
        <w:rPr>
          <w:rFonts w:ascii="微軟正黑體" w:eastAsia="微軟正黑體" w:hAnsi="微軟正黑體"/>
        </w:rPr>
        <w:t>條</w:t>
      </w:r>
    </w:p>
    <w:p w14:paraId="626BB905" w14:textId="1176C19B"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外國投資者在依法需要取得許可的行業、領域進行投資的，應當依法辦理相關許可手續</w:t>
      </w:r>
      <w:r>
        <w:rPr>
          <w:rFonts w:ascii="微軟正黑體" w:eastAsia="微軟正黑體" w:hAnsi="微軟正黑體"/>
        </w:rPr>
        <w:t>。</w:t>
      </w:r>
    </w:p>
    <w:p w14:paraId="155572BE" w14:textId="33A2AB5A"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有關主管部門應當按照與內資一致的條件和程序，審核外國投資者的許可申請，法律、行政法規另有規定的除外。</w:t>
      </w:r>
    </w:p>
    <w:p w14:paraId="4886E515" w14:textId="77777777" w:rsidR="00CC253B" w:rsidRDefault="0086194A" w:rsidP="0086194A">
      <w:pPr>
        <w:pStyle w:val="2"/>
        <w:rPr>
          <w:rFonts w:ascii="微軟正黑體" w:eastAsia="微軟正黑體" w:hAnsi="微軟正黑體"/>
        </w:rPr>
      </w:pPr>
      <w:bookmarkStart w:id="41" w:name="a31"/>
      <w:bookmarkEnd w:id="41"/>
      <w:r w:rsidRPr="00A97268">
        <w:rPr>
          <w:rFonts w:ascii="微軟正黑體" w:eastAsia="微軟正黑體" w:hAnsi="微軟正黑體"/>
        </w:rPr>
        <w:t>第31</w:t>
      </w:r>
      <w:r w:rsidR="00CC253B">
        <w:rPr>
          <w:rFonts w:ascii="微軟正黑體" w:eastAsia="微軟正黑體" w:hAnsi="微軟正黑體"/>
        </w:rPr>
        <w:t>條</w:t>
      </w:r>
    </w:p>
    <w:p w14:paraId="77FD4842" w14:textId="219B1246"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外商投資企業的組織形式、組織機構及其活動準則，適用《</w:t>
      </w:r>
      <w:hyperlink r:id="rId15" w:history="1">
        <w:r w:rsidR="0086194A" w:rsidRPr="00A97268">
          <w:rPr>
            <w:rStyle w:val="a3"/>
            <w:rFonts w:ascii="微軟正黑體" w:eastAsia="微軟正黑體" w:hAnsi="微軟正黑體"/>
          </w:rPr>
          <w:t>中華人民共和國公司法</w:t>
        </w:r>
      </w:hyperlink>
      <w:r w:rsidR="0086194A" w:rsidRPr="00A97268">
        <w:rPr>
          <w:rFonts w:ascii="微軟正黑體" w:eastAsia="微軟正黑體" w:hAnsi="微軟正黑體"/>
        </w:rPr>
        <w:t>》、《</w:t>
      </w:r>
      <w:hyperlink r:id="rId16" w:history="1">
        <w:r w:rsidR="0086194A" w:rsidRPr="00A97268">
          <w:rPr>
            <w:rStyle w:val="a3"/>
            <w:rFonts w:ascii="微軟正黑體" w:eastAsia="微軟正黑體" w:hAnsi="微軟正黑體"/>
          </w:rPr>
          <w:t>中華人民共和國合夥企業法</w:t>
        </w:r>
      </w:hyperlink>
      <w:r w:rsidR="0086194A" w:rsidRPr="00A97268">
        <w:rPr>
          <w:rFonts w:ascii="微軟正黑體" w:eastAsia="微軟正黑體" w:hAnsi="微軟正黑體"/>
        </w:rPr>
        <w:t>》等法律的規定。</w:t>
      </w:r>
    </w:p>
    <w:p w14:paraId="0FBC812E" w14:textId="77777777" w:rsidR="00CC253B" w:rsidRDefault="0086194A" w:rsidP="0086194A">
      <w:pPr>
        <w:pStyle w:val="2"/>
        <w:rPr>
          <w:rFonts w:ascii="微軟正黑體" w:eastAsia="微軟正黑體" w:hAnsi="微軟正黑體"/>
        </w:rPr>
      </w:pPr>
      <w:bookmarkStart w:id="42" w:name="a32"/>
      <w:bookmarkEnd w:id="42"/>
      <w:r w:rsidRPr="00A97268">
        <w:rPr>
          <w:rFonts w:ascii="微軟正黑體" w:eastAsia="微軟正黑體" w:hAnsi="微軟正黑體"/>
        </w:rPr>
        <w:t>第32</w:t>
      </w:r>
      <w:r w:rsidR="00CC253B">
        <w:rPr>
          <w:rFonts w:ascii="微軟正黑體" w:eastAsia="微軟正黑體" w:hAnsi="微軟正黑體"/>
        </w:rPr>
        <w:t>條</w:t>
      </w:r>
    </w:p>
    <w:p w14:paraId="409EBC5C" w14:textId="44BFA889"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外商投資企業開展生產經營活動，應當遵守法律、行政法規有關勞動保護、社會保險的規定，依照法律、行政法規和國家有關規定辦理稅收、會計、外匯等事宜，並接受相關主管部門依法實施的監督檢查。</w:t>
      </w:r>
    </w:p>
    <w:p w14:paraId="30C6706C" w14:textId="77777777" w:rsidR="00CC253B" w:rsidRDefault="0086194A" w:rsidP="0086194A">
      <w:pPr>
        <w:pStyle w:val="2"/>
        <w:rPr>
          <w:rFonts w:ascii="微軟正黑體" w:eastAsia="微軟正黑體" w:hAnsi="微軟正黑體"/>
        </w:rPr>
      </w:pPr>
      <w:bookmarkStart w:id="43" w:name="a33"/>
      <w:bookmarkEnd w:id="43"/>
      <w:r w:rsidRPr="00A97268">
        <w:rPr>
          <w:rFonts w:ascii="微軟正黑體" w:eastAsia="微軟正黑體" w:hAnsi="微軟正黑體"/>
        </w:rPr>
        <w:t>第33</w:t>
      </w:r>
      <w:r w:rsidR="00CC253B">
        <w:rPr>
          <w:rFonts w:ascii="微軟正黑體" w:eastAsia="微軟正黑體" w:hAnsi="微軟正黑體"/>
        </w:rPr>
        <w:t>條</w:t>
      </w:r>
    </w:p>
    <w:p w14:paraId="193E50B2" w14:textId="27FF4AB7"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外國投資者併購中國境內企業或者以其他方式參與經營者集中的，應當依照《</w:t>
      </w:r>
      <w:hyperlink r:id="rId17" w:history="1">
        <w:r w:rsidR="0086194A" w:rsidRPr="00A97268">
          <w:rPr>
            <w:rStyle w:val="a3"/>
            <w:rFonts w:ascii="微軟正黑體" w:eastAsia="微軟正黑體" w:hAnsi="微軟正黑體"/>
          </w:rPr>
          <w:t>中華人民共和國反壟斷法</w:t>
        </w:r>
      </w:hyperlink>
      <w:r w:rsidR="0086194A" w:rsidRPr="00A97268">
        <w:rPr>
          <w:rFonts w:ascii="微軟正黑體" w:eastAsia="微軟正黑體" w:hAnsi="微軟正黑體"/>
        </w:rPr>
        <w:t>》的規定接受經營者集中審查。</w:t>
      </w:r>
    </w:p>
    <w:p w14:paraId="74E1FB0B" w14:textId="77777777" w:rsidR="00CC253B" w:rsidRDefault="0086194A" w:rsidP="0086194A">
      <w:pPr>
        <w:pStyle w:val="2"/>
        <w:rPr>
          <w:rFonts w:ascii="微軟正黑體" w:eastAsia="微軟正黑體" w:hAnsi="微軟正黑體"/>
        </w:rPr>
      </w:pPr>
      <w:bookmarkStart w:id="44" w:name="a34"/>
      <w:bookmarkEnd w:id="44"/>
      <w:r w:rsidRPr="00A97268">
        <w:rPr>
          <w:rFonts w:ascii="微軟正黑體" w:eastAsia="微軟正黑體" w:hAnsi="微軟正黑體"/>
        </w:rPr>
        <w:t>第34</w:t>
      </w:r>
      <w:r w:rsidR="00CC253B">
        <w:rPr>
          <w:rFonts w:ascii="微軟正黑體" w:eastAsia="微軟正黑體" w:hAnsi="微軟正黑體"/>
        </w:rPr>
        <w:t>條</w:t>
      </w:r>
    </w:p>
    <w:p w14:paraId="524CCFB3" w14:textId="2BC567C3"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國家建立外商投資資訊報告制度。外國投資者或者外商投資企業應當通過企業登記系統以及企業信用資訊公示系統向商務主管部門報送投資資訊</w:t>
      </w:r>
      <w:r>
        <w:rPr>
          <w:rFonts w:ascii="微軟正黑體" w:eastAsia="微軟正黑體" w:hAnsi="微軟正黑體"/>
        </w:rPr>
        <w:t>。</w:t>
      </w:r>
    </w:p>
    <w:p w14:paraId="217CA99A" w14:textId="6DD7EA45"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外商投資資訊報告的內容和範圍按照確有必要的原則確定；通過部門資訊共享能夠獲得的投資資訊，不得再行要求報送。</w:t>
      </w:r>
    </w:p>
    <w:p w14:paraId="1627281D" w14:textId="77777777" w:rsidR="00CC253B" w:rsidRDefault="0086194A" w:rsidP="0086194A">
      <w:pPr>
        <w:pStyle w:val="2"/>
        <w:rPr>
          <w:rFonts w:ascii="微軟正黑體" w:eastAsia="微軟正黑體" w:hAnsi="微軟正黑體"/>
        </w:rPr>
      </w:pPr>
      <w:bookmarkStart w:id="45" w:name="a35"/>
      <w:bookmarkEnd w:id="45"/>
      <w:r w:rsidRPr="00A97268">
        <w:rPr>
          <w:rFonts w:ascii="微軟正黑體" w:eastAsia="微軟正黑體" w:hAnsi="微軟正黑體"/>
        </w:rPr>
        <w:t>第35</w:t>
      </w:r>
      <w:r w:rsidR="00CC253B">
        <w:rPr>
          <w:rFonts w:ascii="微軟正黑體" w:eastAsia="微軟正黑體" w:hAnsi="微軟正黑體"/>
        </w:rPr>
        <w:t>條</w:t>
      </w:r>
    </w:p>
    <w:p w14:paraId="2B329FAD" w14:textId="0ED83E82"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國家建立外商投資安全審查制度，對影響或者可能影響國家安全的外商投資進行安全審查</w:t>
      </w:r>
      <w:r>
        <w:rPr>
          <w:rFonts w:ascii="微軟正黑體" w:eastAsia="微軟正黑體" w:hAnsi="微軟正黑體"/>
        </w:rPr>
        <w:t>。</w:t>
      </w:r>
    </w:p>
    <w:p w14:paraId="6511286C" w14:textId="0E200059" w:rsidR="00CC253B"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依法作出的安全審查決定為最終決定</w:t>
      </w:r>
      <w:r>
        <w:rPr>
          <w:rFonts w:ascii="微軟正黑體" w:eastAsia="微軟正黑體" w:hAnsi="微軟正黑體"/>
          <w:color w:val="17365D"/>
        </w:rPr>
        <w:t>。</w:t>
      </w:r>
    </w:p>
    <w:p w14:paraId="77411A30" w14:textId="176695F1" w:rsidR="007E1C6F" w:rsidRPr="00A97268" w:rsidRDefault="00CC253B" w:rsidP="0086194A">
      <w:pPr>
        <w:ind w:left="142"/>
        <w:jc w:val="both"/>
        <w:rPr>
          <w:rFonts w:ascii="微軟正黑體" w:eastAsia="微軟正黑體" w:hAnsi="微軟正黑體"/>
        </w:rPr>
      </w:pPr>
      <w:r>
        <w:rPr>
          <w:rFonts w:ascii="微軟正黑體" w:eastAsia="微軟正黑體" w:hAnsi="微軟正黑體"/>
          <w:color w:val="17365D"/>
        </w:rPr>
        <w:t xml:space="preserve">　　　　</w:t>
      </w:r>
      <w:r w:rsidR="004F4E98" w:rsidRPr="00A97268">
        <w:rPr>
          <w:rFonts w:ascii="微軟正黑體" w:eastAsia="微軟正黑體" w:hAnsi="微軟正黑體"/>
          <w:color w:val="808000"/>
          <w:sz w:val="18"/>
        </w:rPr>
        <w:t xml:space="preserve">　　　　　　　　　　　　　　　　　　　　　　　　　　　　　　　　　　　　　　　　　　　　　</w:t>
      </w:r>
      <w:hyperlink w:anchor="a章節索引" w:history="1">
        <w:r w:rsidR="004F4E98" w:rsidRPr="00A97268">
          <w:rPr>
            <w:rStyle w:val="a3"/>
            <w:rFonts w:ascii="微軟正黑體" w:eastAsia="微軟正黑體" w:hAnsi="微軟正黑體" w:hint="eastAsia"/>
            <w:sz w:val="18"/>
          </w:rPr>
          <w:t>回索引</w:t>
        </w:r>
      </w:hyperlink>
      <w:r w:rsidR="004F4E98" w:rsidRPr="00A97268">
        <w:rPr>
          <w:rFonts w:ascii="微軟正黑體" w:eastAsia="微軟正黑體" w:hAnsi="微軟正黑體" w:hint="eastAsia"/>
          <w:color w:val="808000"/>
          <w:sz w:val="18"/>
        </w:rPr>
        <w:t>〉〉</w:t>
      </w:r>
    </w:p>
    <w:p w14:paraId="17968E37" w14:textId="77777777" w:rsidR="0086194A" w:rsidRPr="00A97268" w:rsidRDefault="0086194A" w:rsidP="007E1C6F">
      <w:pPr>
        <w:pStyle w:val="1"/>
        <w:spacing w:beforeLines="30" w:before="108" w:beforeAutospacing="0" w:afterLines="30" w:after="108" w:afterAutospacing="0"/>
        <w:rPr>
          <w:rFonts w:ascii="微軟正黑體" w:eastAsia="微軟正黑體" w:hAnsi="微軟正黑體"/>
        </w:rPr>
      </w:pPr>
      <w:bookmarkStart w:id="46" w:name="_第五章__法律責任"/>
      <w:bookmarkEnd w:id="46"/>
      <w:r w:rsidRPr="00A97268">
        <w:rPr>
          <w:rFonts w:ascii="微軟正黑體" w:eastAsia="微軟正黑體" w:hAnsi="微軟正黑體"/>
        </w:rPr>
        <w:t>第五章　　法律責任</w:t>
      </w:r>
    </w:p>
    <w:p w14:paraId="5C89D521" w14:textId="77777777" w:rsidR="00CC253B" w:rsidRDefault="0086194A" w:rsidP="0086194A">
      <w:pPr>
        <w:pStyle w:val="2"/>
        <w:rPr>
          <w:rFonts w:ascii="微軟正黑體" w:eastAsia="微軟正黑體" w:hAnsi="微軟正黑體"/>
        </w:rPr>
      </w:pPr>
      <w:bookmarkStart w:id="47" w:name="a36"/>
      <w:bookmarkEnd w:id="47"/>
      <w:r w:rsidRPr="00A97268">
        <w:rPr>
          <w:rFonts w:ascii="微軟正黑體" w:eastAsia="微軟正黑體" w:hAnsi="微軟正黑體"/>
        </w:rPr>
        <w:t>第36</w:t>
      </w:r>
      <w:r w:rsidR="00CC253B">
        <w:rPr>
          <w:rFonts w:ascii="微軟正黑體" w:eastAsia="微軟正黑體" w:hAnsi="微軟正黑體"/>
        </w:rPr>
        <w:t>條</w:t>
      </w:r>
    </w:p>
    <w:p w14:paraId="73AF50A2" w14:textId="5F94BF46"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外國投資者投資外商投資准入負面清單規定禁止投資的領域的，由有關主管部門責令停止投資活動，限期處分股份、資產或者採取其他必要措施，恢復到實施投資前的狀態；有違法所得的，沒收違法所得</w:t>
      </w:r>
      <w:r>
        <w:rPr>
          <w:rFonts w:ascii="微軟正黑體" w:eastAsia="微軟正黑體" w:hAnsi="微軟正黑體"/>
        </w:rPr>
        <w:t>。</w:t>
      </w:r>
    </w:p>
    <w:p w14:paraId="233C4434" w14:textId="52C1E4B2"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Pr="00A97268">
        <w:rPr>
          <w:rFonts w:ascii="微軟正黑體" w:eastAsia="微軟正黑體" w:hAnsi="微軟正黑體"/>
          <w:color w:val="17365D"/>
        </w:rPr>
        <w:t>外國投資者的投資活動違反外商投資准入負面清單規定的限制性准入特別管理措施的，由有關主管部門責令限期改正，採取必要措施滿足准入特別管理措施的要求；逾期不改正的，依照前款規定處理</w:t>
      </w:r>
      <w:r>
        <w:rPr>
          <w:rFonts w:ascii="微軟正黑體" w:eastAsia="微軟正黑體" w:hAnsi="微軟正黑體"/>
        </w:rPr>
        <w:t>。</w:t>
      </w:r>
    </w:p>
    <w:p w14:paraId="40429842" w14:textId="4BD31EAF"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3</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外國投資者的投資活動違反外商投資准入負面清單規定的，除依照前兩款規定處理外，還應當依法承擔相應的法律責任。</w:t>
      </w:r>
    </w:p>
    <w:p w14:paraId="3A185BB3" w14:textId="77777777" w:rsidR="00CC253B" w:rsidRDefault="0086194A" w:rsidP="0086194A">
      <w:pPr>
        <w:pStyle w:val="2"/>
        <w:rPr>
          <w:rFonts w:ascii="微軟正黑體" w:eastAsia="微軟正黑體" w:hAnsi="微軟正黑體"/>
        </w:rPr>
      </w:pPr>
      <w:bookmarkStart w:id="48" w:name="a37"/>
      <w:bookmarkEnd w:id="48"/>
      <w:r w:rsidRPr="00A97268">
        <w:rPr>
          <w:rFonts w:ascii="微軟正黑體" w:eastAsia="微軟正黑體" w:hAnsi="微軟正黑體"/>
        </w:rPr>
        <w:t>第37</w:t>
      </w:r>
      <w:r w:rsidR="00CC253B">
        <w:rPr>
          <w:rFonts w:ascii="微軟正黑體" w:eastAsia="微軟正黑體" w:hAnsi="微軟正黑體"/>
        </w:rPr>
        <w:t>條</w:t>
      </w:r>
    </w:p>
    <w:p w14:paraId="59E9D9FE" w14:textId="4280F665"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外國投資者、外商投資企業違反本法規定，未按照外商投資資訊報告制度的要求報送投資資訊的，由商務主管部門責令限期改正；逾期不改正的，處十萬元以上五十萬元以下的罰款。</w:t>
      </w:r>
    </w:p>
    <w:p w14:paraId="3063F8EB" w14:textId="77777777" w:rsidR="00CC253B" w:rsidRDefault="0086194A" w:rsidP="0086194A">
      <w:pPr>
        <w:pStyle w:val="2"/>
        <w:rPr>
          <w:rFonts w:ascii="微軟正黑體" w:eastAsia="微軟正黑體" w:hAnsi="微軟正黑體"/>
        </w:rPr>
      </w:pPr>
      <w:bookmarkStart w:id="49" w:name="a38"/>
      <w:bookmarkEnd w:id="49"/>
      <w:r w:rsidRPr="00A97268">
        <w:rPr>
          <w:rFonts w:ascii="微軟正黑體" w:eastAsia="微軟正黑體" w:hAnsi="微軟正黑體"/>
        </w:rPr>
        <w:t>第38</w:t>
      </w:r>
      <w:r w:rsidR="00CC253B">
        <w:rPr>
          <w:rFonts w:ascii="微軟正黑體" w:eastAsia="微軟正黑體" w:hAnsi="微軟正黑體"/>
        </w:rPr>
        <w:t>條</w:t>
      </w:r>
    </w:p>
    <w:p w14:paraId="3125014F" w14:textId="62A0667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對外國投資者、外商投資企業違反法律、法規的行為，由有關部門依法查處，並按照國家有關規定納入信用</w:t>
      </w:r>
      <w:r w:rsidR="0086194A" w:rsidRPr="00A97268">
        <w:rPr>
          <w:rFonts w:ascii="微軟正黑體" w:eastAsia="微軟正黑體" w:hAnsi="微軟正黑體"/>
        </w:rPr>
        <w:lastRenderedPageBreak/>
        <w:t>資訊系統。</w:t>
      </w:r>
    </w:p>
    <w:p w14:paraId="380718F7" w14:textId="77777777" w:rsidR="00CC253B" w:rsidRDefault="0086194A" w:rsidP="0086194A">
      <w:pPr>
        <w:pStyle w:val="2"/>
        <w:rPr>
          <w:rFonts w:ascii="微軟正黑體" w:eastAsia="微軟正黑體" w:hAnsi="微軟正黑體"/>
        </w:rPr>
      </w:pPr>
      <w:bookmarkStart w:id="50" w:name="a39"/>
      <w:bookmarkEnd w:id="50"/>
      <w:r w:rsidRPr="00A97268">
        <w:rPr>
          <w:rFonts w:ascii="微軟正黑體" w:eastAsia="微軟正黑體" w:hAnsi="微軟正黑體"/>
        </w:rPr>
        <w:t>第39</w:t>
      </w:r>
      <w:r w:rsidR="00CC253B">
        <w:rPr>
          <w:rFonts w:ascii="微軟正黑體" w:eastAsia="微軟正黑體" w:hAnsi="微軟正黑體"/>
        </w:rPr>
        <w:t>條</w:t>
      </w:r>
    </w:p>
    <w:p w14:paraId="05309B40" w14:textId="50614972"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行政機關工作人員在外商投資促進、保護和管理工作中濫用職權、玩忽職守、徇私舞弊的，或者洩露、非法向他人提供履行職責過程中知悉的商業秘密的，依法給予處分；構成犯罪的，依法追究刑事責任</w:t>
      </w:r>
      <w:r>
        <w:rPr>
          <w:rFonts w:ascii="微軟正黑體" w:eastAsia="微軟正黑體" w:hAnsi="微軟正黑體"/>
        </w:rPr>
        <w:t>。</w:t>
      </w:r>
    </w:p>
    <w:p w14:paraId="106B3A41" w14:textId="05A2F6F2" w:rsidR="008E183F" w:rsidRPr="00A97268" w:rsidRDefault="00CC253B" w:rsidP="0086194A">
      <w:pPr>
        <w:ind w:left="142"/>
        <w:jc w:val="both"/>
        <w:rPr>
          <w:rFonts w:ascii="微軟正黑體" w:eastAsia="微軟正黑體" w:hAnsi="微軟正黑體"/>
        </w:rPr>
      </w:pPr>
      <w:r>
        <w:rPr>
          <w:rFonts w:ascii="微軟正黑體" w:eastAsia="微軟正黑體" w:hAnsi="微軟正黑體"/>
        </w:rPr>
        <w:t xml:space="preserve">　　　　</w:t>
      </w:r>
      <w:r w:rsidR="004F4E98" w:rsidRPr="00A97268">
        <w:rPr>
          <w:rFonts w:ascii="微軟正黑體" w:eastAsia="微軟正黑體" w:hAnsi="微軟正黑體"/>
          <w:color w:val="808000"/>
          <w:sz w:val="18"/>
        </w:rPr>
        <w:t xml:space="preserve">　　　　　　　　　　　　　　　　　　　　　　　　　　　　　　　　　　　　　　　　　　　　　</w:t>
      </w:r>
      <w:hyperlink w:anchor="a章節索引" w:history="1">
        <w:r w:rsidR="004F4E98" w:rsidRPr="00A97268">
          <w:rPr>
            <w:rStyle w:val="a3"/>
            <w:rFonts w:ascii="微軟正黑體" w:eastAsia="微軟正黑體" w:hAnsi="微軟正黑體" w:hint="eastAsia"/>
            <w:sz w:val="18"/>
          </w:rPr>
          <w:t>回索引</w:t>
        </w:r>
      </w:hyperlink>
      <w:r w:rsidR="004F4E98" w:rsidRPr="00A97268">
        <w:rPr>
          <w:rFonts w:ascii="微軟正黑體" w:eastAsia="微軟正黑體" w:hAnsi="微軟正黑體" w:hint="eastAsia"/>
          <w:color w:val="808000"/>
          <w:sz w:val="18"/>
        </w:rPr>
        <w:t>〉〉</w:t>
      </w:r>
    </w:p>
    <w:p w14:paraId="7CA69A63" w14:textId="77777777" w:rsidR="0086194A" w:rsidRPr="00A97268" w:rsidRDefault="0086194A" w:rsidP="007E1C6F">
      <w:pPr>
        <w:pStyle w:val="1"/>
        <w:spacing w:beforeLines="30" w:before="108" w:beforeAutospacing="0" w:afterLines="30" w:after="108" w:afterAutospacing="0"/>
        <w:rPr>
          <w:rFonts w:ascii="微軟正黑體" w:eastAsia="微軟正黑體" w:hAnsi="微軟正黑體"/>
        </w:rPr>
      </w:pPr>
      <w:bookmarkStart w:id="51" w:name="_第六章__附"/>
      <w:bookmarkEnd w:id="51"/>
      <w:r w:rsidRPr="00A97268">
        <w:rPr>
          <w:rFonts w:ascii="微軟正黑體" w:eastAsia="微軟正黑體" w:hAnsi="微軟正黑體"/>
        </w:rPr>
        <w:t xml:space="preserve">第六章　　附　則 </w:t>
      </w:r>
    </w:p>
    <w:p w14:paraId="569372C0" w14:textId="77777777" w:rsidR="00CC253B" w:rsidRDefault="0086194A" w:rsidP="0086194A">
      <w:pPr>
        <w:pStyle w:val="2"/>
        <w:rPr>
          <w:rFonts w:ascii="微軟正黑體" w:eastAsia="微軟正黑體" w:hAnsi="微軟正黑體"/>
        </w:rPr>
      </w:pPr>
      <w:bookmarkStart w:id="52" w:name="a40"/>
      <w:bookmarkEnd w:id="52"/>
      <w:r w:rsidRPr="00A97268">
        <w:rPr>
          <w:rFonts w:ascii="微軟正黑體" w:eastAsia="微軟正黑體" w:hAnsi="微軟正黑體"/>
        </w:rPr>
        <w:t>第40</w:t>
      </w:r>
      <w:r w:rsidR="00CC253B">
        <w:rPr>
          <w:rFonts w:ascii="微軟正黑體" w:eastAsia="微軟正黑體" w:hAnsi="微軟正黑體"/>
        </w:rPr>
        <w:t>條</w:t>
      </w:r>
    </w:p>
    <w:p w14:paraId="5C0D1901" w14:textId="40F00DF6"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任何國家或者地區在投資方面對中華人民共和國採取歧視性的禁止、限制或者其他類似措施的，中華人民共和國可以根據實際情況對該國家或者該地區採取相應的措施。</w:t>
      </w:r>
    </w:p>
    <w:p w14:paraId="5BED5FB9" w14:textId="77777777" w:rsidR="00CC253B" w:rsidRDefault="0086194A" w:rsidP="0086194A">
      <w:pPr>
        <w:pStyle w:val="2"/>
        <w:rPr>
          <w:rFonts w:ascii="微軟正黑體" w:eastAsia="微軟正黑體" w:hAnsi="微軟正黑體"/>
        </w:rPr>
      </w:pPr>
      <w:bookmarkStart w:id="53" w:name="a41"/>
      <w:bookmarkEnd w:id="53"/>
      <w:r w:rsidRPr="00A97268">
        <w:rPr>
          <w:rFonts w:ascii="微軟正黑體" w:eastAsia="微軟正黑體" w:hAnsi="微軟正黑體"/>
        </w:rPr>
        <w:t>第41</w:t>
      </w:r>
      <w:r w:rsidR="00CC253B">
        <w:rPr>
          <w:rFonts w:ascii="微軟正黑體" w:eastAsia="微軟正黑體" w:hAnsi="微軟正黑體"/>
        </w:rPr>
        <w:t>條</w:t>
      </w:r>
    </w:p>
    <w:p w14:paraId="750FA31F" w14:textId="300FD802" w:rsidR="0086194A" w:rsidRPr="00A97268"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對外國投資者在中國境內投資銀行業、證券業、保險業等金融行業，或者在證券市場、外匯市場等金融市場進行投資的管理，國家另有規定的，依照其規定。</w:t>
      </w:r>
    </w:p>
    <w:p w14:paraId="457ACC17" w14:textId="77777777" w:rsidR="00CC253B" w:rsidRDefault="0086194A" w:rsidP="0086194A">
      <w:pPr>
        <w:pStyle w:val="2"/>
        <w:rPr>
          <w:rFonts w:ascii="微軟正黑體" w:eastAsia="微軟正黑體" w:hAnsi="微軟正黑體"/>
        </w:rPr>
      </w:pPr>
      <w:bookmarkStart w:id="54" w:name="a42"/>
      <w:bookmarkEnd w:id="54"/>
      <w:r w:rsidRPr="00A97268">
        <w:rPr>
          <w:rFonts w:ascii="微軟正黑體" w:eastAsia="微軟正黑體" w:hAnsi="微軟正黑體"/>
        </w:rPr>
        <w:t>第42</w:t>
      </w:r>
      <w:r w:rsidR="00CC253B">
        <w:rPr>
          <w:rFonts w:ascii="微軟正黑體" w:eastAsia="微軟正黑體" w:hAnsi="微軟正黑體"/>
        </w:rPr>
        <w:t>條</w:t>
      </w:r>
    </w:p>
    <w:p w14:paraId="0764210E" w14:textId="118FEDA5" w:rsidR="00CC253B" w:rsidRDefault="00CC253B" w:rsidP="0086194A">
      <w:pPr>
        <w:ind w:left="142"/>
        <w:jc w:val="both"/>
        <w:rPr>
          <w:rFonts w:ascii="微軟正黑體" w:eastAsia="微軟正黑體" w:hAnsi="微軟正黑體"/>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1</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rPr>
        <w:t>本法自2020年1月1日起施行。《</w:t>
      </w:r>
      <w:hyperlink r:id="rId18" w:history="1">
        <w:r w:rsidR="0086194A" w:rsidRPr="00A97268">
          <w:rPr>
            <w:rStyle w:val="a3"/>
            <w:rFonts w:ascii="微軟正黑體" w:eastAsia="微軟正黑體" w:hAnsi="微軟正黑體"/>
          </w:rPr>
          <w:t>中華人民共和國中外合資經營企業法</w:t>
        </w:r>
      </w:hyperlink>
      <w:r w:rsidR="0086194A" w:rsidRPr="00A97268">
        <w:rPr>
          <w:rFonts w:ascii="微軟正黑體" w:eastAsia="微軟正黑體" w:hAnsi="微軟正黑體"/>
        </w:rPr>
        <w:t>》、《</w:t>
      </w:r>
      <w:hyperlink r:id="rId19" w:history="1">
        <w:r w:rsidR="0086194A" w:rsidRPr="00A97268">
          <w:rPr>
            <w:rStyle w:val="a3"/>
            <w:rFonts w:ascii="微軟正黑體" w:eastAsia="微軟正黑體" w:hAnsi="微軟正黑體"/>
          </w:rPr>
          <w:t>中華人民共和國外資企業法</w:t>
        </w:r>
      </w:hyperlink>
      <w:r w:rsidR="0086194A" w:rsidRPr="00A97268">
        <w:rPr>
          <w:rFonts w:ascii="微軟正黑體" w:eastAsia="微軟正黑體" w:hAnsi="微軟正黑體"/>
        </w:rPr>
        <w:t>》、《</w:t>
      </w:r>
      <w:hyperlink r:id="rId20" w:history="1">
        <w:r w:rsidR="0086194A" w:rsidRPr="00A97268">
          <w:rPr>
            <w:rStyle w:val="a3"/>
            <w:rFonts w:ascii="微軟正黑體" w:eastAsia="微軟正黑體" w:hAnsi="微軟正黑體"/>
          </w:rPr>
          <w:t>中華人民共和國中外合作經營企業法</w:t>
        </w:r>
      </w:hyperlink>
      <w:r w:rsidR="0086194A" w:rsidRPr="00A97268">
        <w:rPr>
          <w:rFonts w:ascii="微軟正黑體" w:eastAsia="微軟正黑體" w:hAnsi="微軟正黑體"/>
        </w:rPr>
        <w:t>》同時廢止</w:t>
      </w:r>
      <w:r>
        <w:rPr>
          <w:rFonts w:ascii="微軟正黑體" w:eastAsia="微軟正黑體" w:hAnsi="微軟正黑體"/>
        </w:rPr>
        <w:t>。</w:t>
      </w:r>
    </w:p>
    <w:p w14:paraId="1747A720" w14:textId="57A58B37" w:rsidR="0086194A" w:rsidRPr="00A97268" w:rsidRDefault="00CC253B" w:rsidP="0086194A">
      <w:pPr>
        <w:ind w:left="142"/>
        <w:jc w:val="both"/>
        <w:rPr>
          <w:rFonts w:ascii="微軟正黑體" w:eastAsia="微軟正黑體" w:hAnsi="微軟正黑體"/>
          <w:color w:val="17365D"/>
        </w:rPr>
      </w:pPr>
      <w:r w:rsidRPr="00CC253B">
        <w:rPr>
          <w:rFonts w:asciiTheme="minorHAnsi" w:eastAsia="微軟正黑體" w:hAnsiTheme="minorHAnsi"/>
          <w:color w:val="404040" w:themeColor="text1" w:themeTint="BF"/>
          <w:sz w:val="16"/>
        </w:rPr>
        <w:t>﹝</w:t>
      </w:r>
      <w:r w:rsidRPr="00CC253B">
        <w:rPr>
          <w:rFonts w:asciiTheme="minorHAnsi" w:eastAsia="微軟正黑體" w:hAnsiTheme="minorHAnsi"/>
          <w:color w:val="404040" w:themeColor="text1" w:themeTint="BF"/>
          <w:sz w:val="16"/>
        </w:rPr>
        <w:t>2</w:t>
      </w:r>
      <w:r w:rsidRPr="00CC253B">
        <w:rPr>
          <w:rFonts w:asciiTheme="minorHAnsi" w:eastAsia="微軟正黑體" w:hAnsiTheme="minorHAnsi"/>
          <w:color w:val="404040" w:themeColor="text1" w:themeTint="BF"/>
          <w:sz w:val="16"/>
        </w:rPr>
        <w:t>﹞</w:t>
      </w:r>
      <w:r w:rsidR="0086194A" w:rsidRPr="00A97268">
        <w:rPr>
          <w:rFonts w:ascii="微軟正黑體" w:eastAsia="微軟正黑體" w:hAnsi="微軟正黑體"/>
          <w:color w:val="17365D"/>
        </w:rPr>
        <w:t>本法施行前依照</w:t>
      </w:r>
      <w:r w:rsidR="008726DA" w:rsidRPr="00A97268">
        <w:rPr>
          <w:rFonts w:ascii="微軟正黑體" w:eastAsia="微軟正黑體" w:hAnsi="微軟正黑體"/>
        </w:rPr>
        <w:t>《</w:t>
      </w:r>
      <w:hyperlink r:id="rId21" w:history="1">
        <w:r w:rsidR="008726DA" w:rsidRPr="00A97268">
          <w:rPr>
            <w:rStyle w:val="a3"/>
            <w:rFonts w:ascii="微軟正黑體" w:eastAsia="微軟正黑體" w:hAnsi="微軟正黑體"/>
          </w:rPr>
          <w:t>中華人民共和國中外合資經營企業法</w:t>
        </w:r>
      </w:hyperlink>
      <w:r w:rsidR="0086194A" w:rsidRPr="00A97268">
        <w:rPr>
          <w:rFonts w:ascii="微軟正黑體" w:eastAsia="微軟正黑體" w:hAnsi="微軟正黑體"/>
          <w:color w:val="17365D"/>
        </w:rPr>
        <w:t>》、</w:t>
      </w:r>
      <w:r w:rsidR="008726DA" w:rsidRPr="00A97268">
        <w:rPr>
          <w:rFonts w:ascii="微軟正黑體" w:eastAsia="微軟正黑體" w:hAnsi="微軟正黑體"/>
        </w:rPr>
        <w:t>《</w:t>
      </w:r>
      <w:hyperlink r:id="rId22" w:history="1">
        <w:r w:rsidR="008726DA" w:rsidRPr="00A97268">
          <w:rPr>
            <w:rStyle w:val="a3"/>
            <w:rFonts w:ascii="微軟正黑體" w:eastAsia="微軟正黑體" w:hAnsi="微軟正黑體"/>
          </w:rPr>
          <w:t>中華人民共和國外資企業法</w:t>
        </w:r>
      </w:hyperlink>
      <w:r w:rsidR="0086194A" w:rsidRPr="00A97268">
        <w:rPr>
          <w:rFonts w:ascii="微軟正黑體" w:eastAsia="微軟正黑體" w:hAnsi="微軟正黑體"/>
          <w:color w:val="17365D"/>
        </w:rPr>
        <w:t>》、</w:t>
      </w:r>
      <w:r w:rsidR="008726DA" w:rsidRPr="00A97268">
        <w:rPr>
          <w:rFonts w:ascii="微軟正黑體" w:eastAsia="微軟正黑體" w:hAnsi="微軟正黑體"/>
        </w:rPr>
        <w:t>《</w:t>
      </w:r>
      <w:hyperlink r:id="rId23" w:history="1">
        <w:r w:rsidR="008726DA" w:rsidRPr="00A97268">
          <w:rPr>
            <w:rStyle w:val="a3"/>
            <w:rFonts w:ascii="微軟正黑體" w:eastAsia="微軟正黑體" w:hAnsi="微軟正黑體"/>
          </w:rPr>
          <w:t>中華人民共和國中外合作經營企業法</w:t>
        </w:r>
      </w:hyperlink>
      <w:r w:rsidR="0086194A" w:rsidRPr="00A97268">
        <w:rPr>
          <w:rFonts w:ascii="微軟正黑體" w:eastAsia="微軟正黑體" w:hAnsi="微軟正黑體"/>
          <w:color w:val="17365D"/>
        </w:rPr>
        <w:t>》設立的外商投資企業，在本法施行後五年內可以繼續保留原企業組織形式等。具體實施辦法由國務院規定。</w:t>
      </w:r>
    </w:p>
    <w:p w14:paraId="32E32322" w14:textId="77777777" w:rsidR="003C7F50" w:rsidRPr="00A97268" w:rsidRDefault="003C7F50" w:rsidP="0058050C">
      <w:pPr>
        <w:rPr>
          <w:rFonts w:ascii="微軟正黑體" w:eastAsia="微軟正黑體" w:hAnsi="微軟正黑體"/>
        </w:rPr>
      </w:pPr>
    </w:p>
    <w:p w14:paraId="4EC7A525" w14:textId="77777777" w:rsidR="002F569F" w:rsidRPr="00A97268" w:rsidRDefault="002F569F" w:rsidP="0058050C">
      <w:pPr>
        <w:rPr>
          <w:rFonts w:ascii="微軟正黑體" w:eastAsia="微軟正黑體" w:hAnsi="微軟正黑體"/>
        </w:rPr>
      </w:pPr>
    </w:p>
    <w:p w14:paraId="5C175574" w14:textId="77777777" w:rsidR="003C7F50" w:rsidRPr="00A97268" w:rsidRDefault="003C7F50" w:rsidP="003C7F50">
      <w:pPr>
        <w:ind w:leftChars="50" w:left="100"/>
        <w:jc w:val="both"/>
        <w:rPr>
          <w:rFonts w:ascii="微軟正黑體" w:eastAsia="微軟正黑體" w:hAnsi="微軟正黑體"/>
          <w:color w:val="808000"/>
          <w:szCs w:val="20"/>
        </w:rPr>
      </w:pPr>
      <w:r w:rsidRPr="00A97268">
        <w:rPr>
          <w:rFonts w:ascii="微軟正黑體" w:eastAsia="微軟正黑體" w:hAnsi="微軟正黑體" w:hint="eastAsia"/>
          <w:color w:val="5F5F5F"/>
          <w:sz w:val="18"/>
        </w:rPr>
        <w:t>。。。。。。。。。。。。。。。。。。。。。。。。。。。。。。。。。。。。。。。。。。。。。。。。。。</w:t>
      </w:r>
      <w:hyperlink w:anchor="top" w:history="1">
        <w:r w:rsidRPr="00A97268">
          <w:rPr>
            <w:rStyle w:val="a3"/>
            <w:rFonts w:ascii="微軟正黑體" w:eastAsia="微軟正黑體" w:hAnsi="微軟正黑體" w:hint="eastAsia"/>
            <w:sz w:val="18"/>
          </w:rPr>
          <w:t>回</w:t>
        </w:r>
        <w:r w:rsidRPr="00A97268">
          <w:rPr>
            <w:rStyle w:val="a3"/>
            <w:rFonts w:ascii="微軟正黑體" w:eastAsia="微軟正黑體" w:hAnsi="微軟正黑體" w:hint="eastAsia"/>
            <w:sz w:val="18"/>
          </w:rPr>
          <w:t>首</w:t>
        </w:r>
        <w:r w:rsidRPr="00A97268">
          <w:rPr>
            <w:rStyle w:val="a3"/>
            <w:rFonts w:ascii="微軟正黑體" w:eastAsia="微軟正黑體" w:hAnsi="微軟正黑體" w:hint="eastAsia"/>
            <w:sz w:val="18"/>
          </w:rPr>
          <w:t>頁</w:t>
        </w:r>
      </w:hyperlink>
      <w:r w:rsidRPr="00A97268">
        <w:rPr>
          <w:rStyle w:val="a3"/>
          <w:rFonts w:ascii="微軟正黑體" w:eastAsia="微軟正黑體" w:hAnsi="微軟正黑體" w:hint="eastAsia"/>
          <w:b/>
          <w:sz w:val="18"/>
          <w:u w:val="none"/>
        </w:rPr>
        <w:t>〉〉</w:t>
      </w:r>
    </w:p>
    <w:p w14:paraId="06363B41" w14:textId="257633E6" w:rsidR="003C7F50" w:rsidRPr="00A97268" w:rsidRDefault="003C7F50" w:rsidP="003C7F50">
      <w:pPr>
        <w:jc w:val="both"/>
        <w:rPr>
          <w:rFonts w:ascii="微軟正黑體" w:eastAsia="微軟正黑體" w:hAnsi="微軟正黑體"/>
        </w:rPr>
      </w:pPr>
      <w:r w:rsidRPr="00A97268">
        <w:rPr>
          <w:rFonts w:ascii="微軟正黑體" w:eastAsia="微軟正黑體" w:hAnsi="微軟正黑體" w:hint="eastAsia"/>
          <w:color w:val="5F5F5F"/>
          <w:sz w:val="18"/>
          <w:szCs w:val="18"/>
        </w:rPr>
        <w:t>【編註】</w:t>
      </w:r>
      <w:r w:rsidR="00E323A6">
        <w:rPr>
          <w:rFonts w:ascii="微軟正黑體" w:eastAsia="微軟正黑體" w:hAnsi="微軟正黑體" w:hint="eastAsia"/>
          <w:color w:val="5F5F5F"/>
          <w:sz w:val="18"/>
          <w:szCs w:val="18"/>
        </w:rPr>
        <w:t>本檔法規資料來源為官方資訊網，提供學習與參考為原則，</w:t>
      </w:r>
      <w:r w:rsidRPr="00A97268">
        <w:rPr>
          <w:rFonts w:ascii="微軟正黑體" w:eastAsia="微軟正黑體" w:hAnsi="微軟正黑體" w:hint="eastAsia"/>
          <w:color w:val="5F5F5F"/>
          <w:sz w:val="18"/>
          <w:szCs w:val="18"/>
        </w:rPr>
        <w:t>如需引用請以正式檔為準。如有發現待更正部份及您所需本站未收編之法規</w:t>
      </w:r>
      <w:r w:rsidRPr="00A97268">
        <w:rPr>
          <w:rFonts w:ascii="微軟正黑體" w:eastAsia="微軟正黑體" w:hAnsi="微軟正黑體" w:hint="eastAsia"/>
          <w:color w:val="5F5F5F"/>
          <w:sz w:val="18"/>
          <w:szCs w:val="20"/>
        </w:rPr>
        <w:t>，</w:t>
      </w:r>
      <w:r w:rsidRPr="00A97268">
        <w:rPr>
          <w:rFonts w:ascii="微軟正黑體" w:eastAsia="微軟正黑體" w:hAnsi="微軟正黑體"/>
          <w:color w:val="5F5F5F"/>
          <w:sz w:val="18"/>
          <w:szCs w:val="20"/>
        </w:rPr>
        <w:t>敬</w:t>
      </w:r>
      <w:r w:rsidRPr="00A97268">
        <w:rPr>
          <w:rFonts w:ascii="微軟正黑體" w:eastAsia="微軟正黑體" w:hAnsi="微軟正黑體" w:hint="eastAsia"/>
          <w:color w:val="5F5F5F"/>
          <w:sz w:val="18"/>
          <w:szCs w:val="20"/>
        </w:rPr>
        <w:t>請</w:t>
      </w:r>
      <w:hyperlink r:id="rId24" w:history="1">
        <w:r w:rsidRPr="00A97268">
          <w:rPr>
            <w:rStyle w:val="a3"/>
            <w:rFonts w:ascii="微軟正黑體" w:eastAsia="微軟正黑體" w:hAnsi="微軟正黑體"/>
            <w:sz w:val="18"/>
            <w:szCs w:val="20"/>
          </w:rPr>
          <w:t>告知</w:t>
        </w:r>
      </w:hyperlink>
      <w:r w:rsidRPr="00A97268">
        <w:rPr>
          <w:rFonts w:ascii="微軟正黑體" w:eastAsia="微軟正黑體" w:hAnsi="微軟正黑體" w:hint="eastAsia"/>
          <w:color w:val="5F5F5F"/>
          <w:sz w:val="18"/>
          <w:szCs w:val="20"/>
        </w:rPr>
        <w:t>，謝謝！</w:t>
      </w:r>
    </w:p>
    <w:p w14:paraId="698BE69B" w14:textId="77777777" w:rsidR="003C7F50" w:rsidRPr="00A97268" w:rsidRDefault="003C7F50" w:rsidP="0058050C">
      <w:pPr>
        <w:rPr>
          <w:rFonts w:ascii="微軟正黑體" w:eastAsia="微軟正黑體" w:hAnsi="微軟正黑體"/>
        </w:rPr>
      </w:pPr>
    </w:p>
    <w:p w14:paraId="6C430923" w14:textId="77777777" w:rsidR="00A97268" w:rsidRPr="00A97268" w:rsidRDefault="00A97268">
      <w:pPr>
        <w:rPr>
          <w:rFonts w:ascii="微軟正黑體" w:eastAsia="微軟正黑體" w:hAnsi="微軟正黑體"/>
        </w:rPr>
      </w:pPr>
    </w:p>
    <w:sectPr w:rsidR="00A97268" w:rsidRPr="00A97268">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6C9A" w14:textId="77777777" w:rsidR="00587DD1" w:rsidRDefault="00587DD1">
      <w:r>
        <w:separator/>
      </w:r>
    </w:p>
  </w:endnote>
  <w:endnote w:type="continuationSeparator" w:id="0">
    <w:p w14:paraId="4567E544" w14:textId="77777777" w:rsidR="00587DD1" w:rsidRDefault="0058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E46"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60822A9"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803B"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85F3F0F" w14:textId="77777777"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2F569F" w:rsidRPr="002F569F">
      <w:rPr>
        <w:rFonts w:ascii="Arial Unicode MS" w:hAnsi="Arial Unicode MS" w:hint="eastAsia"/>
        <w:sz w:val="18"/>
        <w:szCs w:val="18"/>
      </w:rPr>
      <w:t>中華人民共和國外商投資法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D5B1" w14:textId="77777777" w:rsidR="00587DD1" w:rsidRDefault="00587DD1">
      <w:r>
        <w:separator/>
      </w:r>
    </w:p>
  </w:footnote>
  <w:footnote w:type="continuationSeparator" w:id="0">
    <w:p w14:paraId="0DCE0B29" w14:textId="77777777" w:rsidR="00587DD1" w:rsidRDefault="0058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861F4"/>
    <w:rsid w:val="0009697B"/>
    <w:rsid w:val="000F1F46"/>
    <w:rsid w:val="001635EA"/>
    <w:rsid w:val="00166D4D"/>
    <w:rsid w:val="00172209"/>
    <w:rsid w:val="00177DCB"/>
    <w:rsid w:val="001974AB"/>
    <w:rsid w:val="001E63D5"/>
    <w:rsid w:val="001F57DB"/>
    <w:rsid w:val="00201E46"/>
    <w:rsid w:val="0023765D"/>
    <w:rsid w:val="00272A83"/>
    <w:rsid w:val="00273668"/>
    <w:rsid w:val="00296040"/>
    <w:rsid w:val="002A40F2"/>
    <w:rsid w:val="002F569F"/>
    <w:rsid w:val="0030009C"/>
    <w:rsid w:val="003117F0"/>
    <w:rsid w:val="00334965"/>
    <w:rsid w:val="003365FD"/>
    <w:rsid w:val="00362C6F"/>
    <w:rsid w:val="003906B2"/>
    <w:rsid w:val="003C7F50"/>
    <w:rsid w:val="003D1419"/>
    <w:rsid w:val="003F13C2"/>
    <w:rsid w:val="003F1567"/>
    <w:rsid w:val="00434439"/>
    <w:rsid w:val="004528B7"/>
    <w:rsid w:val="0048386D"/>
    <w:rsid w:val="004F4E98"/>
    <w:rsid w:val="00514F72"/>
    <w:rsid w:val="00515C5A"/>
    <w:rsid w:val="00517077"/>
    <w:rsid w:val="0057446C"/>
    <w:rsid w:val="0058050C"/>
    <w:rsid w:val="00587DD1"/>
    <w:rsid w:val="005B4CC0"/>
    <w:rsid w:val="005D7873"/>
    <w:rsid w:val="006017A9"/>
    <w:rsid w:val="00626027"/>
    <w:rsid w:val="006545BA"/>
    <w:rsid w:val="00727538"/>
    <w:rsid w:val="00797FAF"/>
    <w:rsid w:val="007B3157"/>
    <w:rsid w:val="007E1C6F"/>
    <w:rsid w:val="00806947"/>
    <w:rsid w:val="0083478A"/>
    <w:rsid w:val="0084710D"/>
    <w:rsid w:val="00855953"/>
    <w:rsid w:val="0086194A"/>
    <w:rsid w:val="008714C1"/>
    <w:rsid w:val="008726DA"/>
    <w:rsid w:val="0087702E"/>
    <w:rsid w:val="008829E0"/>
    <w:rsid w:val="008B0950"/>
    <w:rsid w:val="008E183F"/>
    <w:rsid w:val="008F7B9F"/>
    <w:rsid w:val="00911C69"/>
    <w:rsid w:val="00A101CC"/>
    <w:rsid w:val="00A43314"/>
    <w:rsid w:val="00A52880"/>
    <w:rsid w:val="00A97268"/>
    <w:rsid w:val="00AB02D1"/>
    <w:rsid w:val="00AC493C"/>
    <w:rsid w:val="00B2293B"/>
    <w:rsid w:val="00B41E26"/>
    <w:rsid w:val="00B90155"/>
    <w:rsid w:val="00BA702B"/>
    <w:rsid w:val="00BA7B85"/>
    <w:rsid w:val="00C00150"/>
    <w:rsid w:val="00C2437D"/>
    <w:rsid w:val="00C37E0C"/>
    <w:rsid w:val="00C96913"/>
    <w:rsid w:val="00CC253B"/>
    <w:rsid w:val="00D44AB2"/>
    <w:rsid w:val="00D54DAF"/>
    <w:rsid w:val="00D64054"/>
    <w:rsid w:val="00D83F38"/>
    <w:rsid w:val="00D84CA5"/>
    <w:rsid w:val="00DA766C"/>
    <w:rsid w:val="00DB4030"/>
    <w:rsid w:val="00DC51B7"/>
    <w:rsid w:val="00E323A6"/>
    <w:rsid w:val="00E337D4"/>
    <w:rsid w:val="00E61A63"/>
    <w:rsid w:val="00E9022C"/>
    <w:rsid w:val="00EE6475"/>
    <w:rsid w:val="00EF293B"/>
    <w:rsid w:val="00F44A35"/>
    <w:rsid w:val="00F86C8B"/>
    <w:rsid w:val="00F93722"/>
    <w:rsid w:val="00F96907"/>
    <w:rsid w:val="00FE1044"/>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5CF05"/>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86194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86194A"/>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paragraph" w:styleId="Web">
    <w:name w:val="Normal (Web)"/>
    <w:basedOn w:val="a"/>
    <w:uiPriority w:val="99"/>
    <w:semiHidden/>
    <w:unhideWhenUsed/>
    <w:rsid w:val="0086194A"/>
    <w:pPr>
      <w:widowControl/>
      <w:spacing w:before="100" w:beforeAutospacing="1" w:after="100" w:afterAutospacing="1"/>
    </w:pPr>
    <w:rPr>
      <w:rFonts w:ascii="新細明體" w:hAnsi="新細明體" w:cs="新細明體"/>
      <w:kern w:val="0"/>
      <w:sz w:val="24"/>
    </w:rPr>
  </w:style>
  <w:style w:type="character" w:styleId="ac">
    <w:name w:val="Unresolved Mention"/>
    <w:basedOn w:val="a0"/>
    <w:uiPriority w:val="99"/>
    <w:semiHidden/>
    <w:unhideWhenUsed/>
    <w:rsid w:val="007E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8631">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22806;&#21830;&#25237;&#36039;&#27861;.htm" TargetMode="External"/><Relationship Id="rId18" Type="http://schemas.openxmlformats.org/officeDocument/2006/relationships/hyperlink" Target="&#20013;&#33775;&#20154;&#27665;&#20849;&#21644;&#22283;&#20013;&#22806;&#21512;&#36039;&#32147;&#29151;&#20225;&#26989;&#2786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20013;&#33775;&#20154;&#27665;&#20849;&#21644;&#22283;&#20013;&#22806;&#21512;&#36039;&#32147;&#29151;&#20225;&#26989;&#27861;.docx" TargetMode="Externa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hyperlink" Target="&#20013;&#33775;&#20154;&#27665;&#20849;&#21644;&#22283;&#21453;&#22751;&#26039;&#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013;&#33775;&#20154;&#27665;&#20849;&#21644;&#22283;&#21512;&#22821;&#20225;&#26989;&#27861;.docx" TargetMode="External"/><Relationship Id="rId20" Type="http://schemas.openxmlformats.org/officeDocument/2006/relationships/hyperlink" Target="&#20013;&#33775;&#20154;&#27665;&#20849;&#21644;&#22283;&#20013;&#22806;&#21512;&#20316;&#32147;&#29151;&#20225;&#2698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2806;&#21830;&#25237;&#36164;&#27861;.docx" TargetMode="External"/><Relationship Id="rId24"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20013;&#33775;&#20154;&#27665;&#20849;&#21644;&#22283;&#20844;&#21496;&#27861;.docx" TargetMode="External"/><Relationship Id="rId23" Type="http://schemas.openxmlformats.org/officeDocument/2006/relationships/hyperlink" Target="&#20013;&#33775;&#20154;&#27665;&#20849;&#21644;&#22283;&#20013;&#22806;&#21512;&#20316;&#32147;&#29151;&#20225;&#26989;&#27861;.docx" TargetMode="External"/><Relationship Id="rId28"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22806;&#36039;&#20225;&#2698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25010;&#27861;.docx" TargetMode="External"/><Relationship Id="rId22" Type="http://schemas.openxmlformats.org/officeDocument/2006/relationships/hyperlink" Target="&#20013;&#33775;&#20154;&#27665;&#20849;&#21644;&#22283;&#22806;&#36039;&#20225;&#26989;&#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4539</Words>
  <Characters>1605</Characters>
  <Application>Microsoft Office Word</Application>
  <DocSecurity>0</DocSecurity>
  <Lines>13</Lines>
  <Paragraphs>12</Paragraphs>
  <ScaleCrop>false</ScaleCrop>
  <Company/>
  <LinksUpToDate>false</LinksUpToDate>
  <CharactersWithSpaces>6132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中華人民共和國外商投資法</dc:title>
  <dc:creator>S-link 電子六法-黃婉玲</dc:creator>
  <cp:lastModifiedBy>黃婉玲 S-link電子六法</cp:lastModifiedBy>
  <cp:revision>20</cp:revision>
  <dcterms:created xsi:type="dcterms:W3CDTF">2019-04-20T11:05:00Z</dcterms:created>
  <dcterms:modified xsi:type="dcterms:W3CDTF">2022-04-02T04:43:00Z</dcterms:modified>
</cp:coreProperties>
</file>