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9B6B" w14:textId="25BE3461" w:rsidR="00AB02D1" w:rsidRPr="000326BA" w:rsidRDefault="000326BA" w:rsidP="005D7873">
      <w:pPr>
        <w:adjustRightInd w:val="0"/>
        <w:snapToGrid w:val="0"/>
        <w:ind w:rightChars="8" w:right="16"/>
        <w:jc w:val="right"/>
        <w:rPr>
          <w:rFonts w:ascii="微軟正黑體" w:eastAsia="微軟正黑體" w:hAnsi="微軟正黑體"/>
        </w:rPr>
      </w:pPr>
      <w:r>
        <w:rPr>
          <w:rFonts w:ascii="Calibri" w:hAnsi="Calibri"/>
          <w:noProof/>
          <w:color w:val="5F5F5F"/>
          <w:sz w:val="18"/>
          <w:szCs w:val="20"/>
          <w:lang w:val="zh-TW"/>
        </w:rPr>
        <w:drawing>
          <wp:inline distT="0" distB="0" distL="0" distR="0" wp14:anchorId="7C99B1ED" wp14:editId="1B1F899D">
            <wp:extent cx="418465" cy="418465"/>
            <wp:effectExtent l="0" t="0" r="635" b="635"/>
            <wp:docPr id="1182480635"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r w:rsidRPr="000326BA">
        <w:rPr>
          <w:rFonts w:ascii="微軟正黑體" w:eastAsia="微軟正黑體" w:hAnsi="微軟正黑體"/>
        </w:rPr>
        <w:t xml:space="preserve"> </w:t>
      </w:r>
    </w:p>
    <w:p w14:paraId="646D54ED" w14:textId="1C60E3F1" w:rsidR="00AB02D1" w:rsidRPr="000326BA" w:rsidRDefault="00AB02D1" w:rsidP="005D787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0326BA">
        <w:rPr>
          <w:rFonts w:ascii="微軟正黑體" w:eastAsia="微軟正黑體" w:hAnsi="微軟正黑體" w:hint="eastAsia"/>
          <w:color w:val="5F5F5F"/>
          <w:sz w:val="18"/>
          <w:szCs w:val="20"/>
          <w:lang w:val="zh-TW"/>
        </w:rPr>
        <w:t>【</w:t>
      </w:r>
      <w:hyperlink r:id="rId9" w:tgtFrame="_blank" w:history="1">
        <w:r w:rsidRPr="000326BA">
          <w:rPr>
            <w:rStyle w:val="a3"/>
            <w:rFonts w:ascii="微軟正黑體" w:eastAsia="微軟正黑體" w:hAnsi="微軟正黑體"/>
            <w:color w:val="5F5F5F"/>
            <w:sz w:val="18"/>
            <w:szCs w:val="20"/>
          </w:rPr>
          <w:t>更新</w:t>
        </w:r>
      </w:hyperlink>
      <w:r w:rsidRPr="000326BA">
        <w:rPr>
          <w:rFonts w:ascii="微軟正黑體" w:eastAsia="微軟正黑體" w:hAnsi="微軟正黑體" w:hint="eastAsia"/>
          <w:color w:val="7F7F7F"/>
          <w:sz w:val="18"/>
          <w:szCs w:val="20"/>
          <w:lang w:val="zh-TW"/>
        </w:rPr>
        <w:t>】</w:t>
      </w:r>
      <w:r w:rsidR="000F1BEF">
        <w:rPr>
          <w:rFonts w:ascii="微軟正黑體" w:eastAsia="微軟正黑體" w:hAnsi="微軟正黑體"/>
          <w:color w:val="5F5F5F"/>
          <w:sz w:val="18"/>
          <w:szCs w:val="20"/>
        </w:rPr>
        <w:t>2024/6/1</w:t>
      </w:r>
      <w:r w:rsidRPr="000326BA">
        <w:rPr>
          <w:rFonts w:ascii="微軟正黑體" w:eastAsia="微軟正黑體" w:hAnsi="微軟正黑體" w:hint="eastAsia"/>
          <w:color w:val="7F7F7F"/>
          <w:sz w:val="18"/>
          <w:szCs w:val="20"/>
          <w:lang w:val="zh-TW"/>
        </w:rPr>
        <w:t>【</w:t>
      </w:r>
      <w:r w:rsidRPr="000326BA">
        <w:rPr>
          <w:rFonts w:ascii="微軟正黑體" w:eastAsia="微軟正黑體" w:hAnsi="微軟正黑體" w:hint="eastAsia"/>
          <w:color w:val="7F7F7F"/>
          <w:sz w:val="18"/>
          <w:szCs w:val="20"/>
        </w:rPr>
        <w:t>編輯著作權者</w:t>
      </w:r>
      <w:r w:rsidRPr="000326BA">
        <w:rPr>
          <w:rFonts w:ascii="微軟正黑體" w:eastAsia="微軟正黑體" w:hAnsi="微軟正黑體" w:hint="eastAsia"/>
          <w:color w:val="7F7F7F"/>
          <w:sz w:val="18"/>
          <w:szCs w:val="20"/>
          <w:lang w:val="zh-TW"/>
        </w:rPr>
        <w:t>】</w:t>
      </w:r>
      <w:hyperlink r:id="rId10" w:tgtFrame="_blank" w:history="1">
        <w:r w:rsidRPr="000326BA">
          <w:rPr>
            <w:rStyle w:val="a3"/>
            <w:rFonts w:ascii="微軟正黑體" w:eastAsia="微軟正黑體" w:hAnsi="微軟正黑體"/>
            <w:sz w:val="18"/>
            <w:szCs w:val="20"/>
          </w:rPr>
          <w:t>黃婉玲</w:t>
        </w:r>
      </w:hyperlink>
    </w:p>
    <w:p w14:paraId="515FE814" w14:textId="77AAA200" w:rsidR="00AB02D1" w:rsidRPr="000326BA" w:rsidRDefault="000F1BEF" w:rsidP="00AB02D1">
      <w:pPr>
        <w:adjustRightInd w:val="0"/>
        <w:snapToGrid w:val="0"/>
        <w:jc w:val="right"/>
        <w:rPr>
          <w:rFonts w:ascii="微軟正黑體" w:eastAsia="微軟正黑體" w:hAnsi="微軟正黑體"/>
          <w:color w:val="808000"/>
          <w:sz w:val="18"/>
          <w:szCs w:val="20"/>
        </w:rPr>
      </w:pPr>
      <w:bookmarkStart w:id="1"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1D5CD6">
          <w:rPr>
            <w:rStyle w:val="a3"/>
            <w:rFonts w:hint="eastAsia"/>
            <w:color w:val="5F5F5F"/>
            <w:sz w:val="18"/>
            <w:szCs w:val="20"/>
            <w:u w:val="none"/>
          </w:rPr>
          <w:t>功能</w:t>
        </w:r>
        <w:r w:rsidRPr="001D5CD6">
          <w:rPr>
            <w:rStyle w:val="a3"/>
            <w:rFonts w:hint="eastAsia"/>
            <w:color w:val="5F5F5F"/>
            <w:sz w:val="18"/>
            <w:szCs w:val="20"/>
            <w:u w:val="none"/>
          </w:rPr>
          <w:t>窗</w:t>
        </w:r>
        <w:r w:rsidRPr="001D5CD6">
          <w:rPr>
            <w:rStyle w:val="a3"/>
            <w:rFonts w:hint="eastAsia"/>
            <w:color w:val="5F5F5F"/>
            <w:sz w:val="18"/>
            <w:szCs w:val="20"/>
            <w:u w:val="none"/>
          </w:rPr>
          <w:t>格</w:t>
        </w:r>
      </w:hyperlink>
      <w:r w:rsidRPr="003F438B">
        <w:rPr>
          <w:rFonts w:hint="eastAsia"/>
          <w:color w:val="5F5F5F"/>
          <w:sz w:val="18"/>
          <w:szCs w:val="20"/>
        </w:rPr>
        <w:t>）</w:t>
      </w:r>
      <w:bookmarkEnd w:id="1"/>
    </w:p>
    <w:p w14:paraId="67573B41" w14:textId="647F613E" w:rsidR="00201E46" w:rsidRPr="000326BA" w:rsidRDefault="00C257E5" w:rsidP="00D44AB2">
      <w:pPr>
        <w:jc w:val="right"/>
        <w:rPr>
          <w:rFonts w:ascii="微軟正黑體" w:eastAsia="微軟正黑體" w:hAnsi="微軟正黑體"/>
          <w:b/>
          <w:color w:val="5F5F5F"/>
          <w:sz w:val="18"/>
        </w:rPr>
      </w:pPr>
      <w:hyperlink r:id="rId12" w:history="1">
        <w:r w:rsidR="00D44AB2" w:rsidRPr="000326BA">
          <w:rPr>
            <w:rFonts w:ascii="微軟正黑體" w:eastAsia="微軟正黑體" w:hAnsi="微軟正黑體" w:hint="eastAsia"/>
            <w:color w:val="808000"/>
            <w:sz w:val="18"/>
            <w:szCs w:val="20"/>
            <w:u w:val="single"/>
          </w:rPr>
          <w:t>S-link總</w:t>
        </w:r>
        <w:r w:rsidR="00D44AB2" w:rsidRPr="000326BA">
          <w:rPr>
            <w:rFonts w:ascii="微軟正黑體" w:eastAsia="微軟正黑體" w:hAnsi="微軟正黑體" w:hint="eastAsia"/>
            <w:color w:val="808000"/>
            <w:sz w:val="18"/>
            <w:szCs w:val="20"/>
            <w:u w:val="single"/>
          </w:rPr>
          <w:t>索</w:t>
        </w:r>
        <w:r w:rsidR="00D44AB2" w:rsidRPr="000326BA">
          <w:rPr>
            <w:rFonts w:ascii="微軟正黑體" w:eastAsia="微軟正黑體" w:hAnsi="微軟正黑體" w:hint="eastAsia"/>
            <w:color w:val="808000"/>
            <w:sz w:val="18"/>
            <w:szCs w:val="20"/>
            <w:u w:val="single"/>
          </w:rPr>
          <w:t>引</w:t>
        </w:r>
      </w:hyperlink>
      <w:r w:rsidR="00D918A6" w:rsidRPr="000326BA">
        <w:rPr>
          <w:rFonts w:ascii="微軟正黑體" w:eastAsia="微軟正黑體" w:hAnsi="微軟正黑體" w:hint="eastAsia"/>
          <w:b/>
          <w:color w:val="808000"/>
          <w:sz w:val="18"/>
          <w:szCs w:val="20"/>
        </w:rPr>
        <w:t>〉〉</w:t>
      </w:r>
      <w:hyperlink r:id="rId13" w:anchor="中華人民共和國船舶噸稅法" w:history="1">
        <w:r w:rsidR="00D44AB2" w:rsidRPr="000326BA">
          <w:rPr>
            <w:rStyle w:val="a3"/>
            <w:rFonts w:ascii="微軟正黑體" w:eastAsia="微軟正黑體" w:hAnsi="微軟正黑體" w:hint="eastAsia"/>
            <w:sz w:val="18"/>
          </w:rPr>
          <w:t>S-link</w:t>
        </w:r>
        <w:r w:rsidR="00D44AB2" w:rsidRPr="000326BA">
          <w:rPr>
            <w:rStyle w:val="a3"/>
            <w:rFonts w:ascii="微軟正黑體" w:eastAsia="微軟正黑體" w:hAnsi="微軟正黑體" w:hint="eastAsia"/>
            <w:sz w:val="18"/>
          </w:rPr>
          <w:t>大</w:t>
        </w:r>
        <w:r w:rsidR="00D44AB2" w:rsidRPr="000326BA">
          <w:rPr>
            <w:rStyle w:val="a3"/>
            <w:rFonts w:ascii="微軟正黑體" w:eastAsia="微軟正黑體" w:hAnsi="微軟正黑體" w:hint="eastAsia"/>
            <w:sz w:val="18"/>
          </w:rPr>
          <w:t>陸法規索引</w:t>
        </w:r>
      </w:hyperlink>
      <w:r w:rsidR="00D918A6" w:rsidRPr="000326BA">
        <w:rPr>
          <w:rFonts w:ascii="微軟正黑體" w:eastAsia="微軟正黑體" w:hAnsi="微軟正黑體" w:hint="eastAsia"/>
          <w:b/>
          <w:color w:val="5F5F5F"/>
          <w:sz w:val="18"/>
        </w:rPr>
        <w:t>〉〉</w:t>
      </w:r>
      <w:hyperlink r:id="rId14" w:tgtFrame="_blank" w:history="1">
        <w:r w:rsidR="00D44AB2" w:rsidRPr="000326BA">
          <w:rPr>
            <w:rStyle w:val="a3"/>
            <w:rFonts w:ascii="微軟正黑體" w:eastAsia="微軟正黑體" w:hAnsi="微軟正黑體" w:hint="eastAsia"/>
            <w:sz w:val="18"/>
          </w:rPr>
          <w:t>線上網</w:t>
        </w:r>
        <w:r w:rsidR="00D44AB2" w:rsidRPr="000326BA">
          <w:rPr>
            <w:rStyle w:val="a3"/>
            <w:rFonts w:ascii="微軟正黑體" w:eastAsia="微軟正黑體" w:hAnsi="微軟正黑體" w:hint="eastAsia"/>
            <w:sz w:val="18"/>
          </w:rPr>
          <w:t>頁</w:t>
        </w:r>
        <w:r w:rsidR="00D44AB2" w:rsidRPr="000326BA">
          <w:rPr>
            <w:rStyle w:val="a3"/>
            <w:rFonts w:ascii="微軟正黑體" w:eastAsia="微軟正黑體" w:hAnsi="微軟正黑體" w:hint="eastAsia"/>
            <w:sz w:val="18"/>
          </w:rPr>
          <w:t>版</w:t>
        </w:r>
      </w:hyperlink>
      <w:r w:rsidR="00D918A6" w:rsidRPr="000326BA">
        <w:rPr>
          <w:rFonts w:ascii="微軟正黑體" w:eastAsia="微軟正黑體" w:hAnsi="微軟正黑體" w:hint="eastAsia"/>
          <w:b/>
          <w:color w:val="5F5F5F"/>
          <w:sz w:val="18"/>
        </w:rPr>
        <w:t>〉〉</w:t>
      </w:r>
    </w:p>
    <w:p w14:paraId="18890D59" w14:textId="77777777" w:rsidR="00454A6B" w:rsidRPr="000326BA" w:rsidRDefault="00454A6B" w:rsidP="00D44AB2">
      <w:pPr>
        <w:jc w:val="right"/>
        <w:rPr>
          <w:rFonts w:ascii="微軟正黑體" w:eastAsia="微軟正黑體" w:hAnsi="微軟正黑體"/>
          <w:color w:val="000000"/>
          <w:u w:val="single"/>
        </w:rPr>
      </w:pPr>
    </w:p>
    <w:p w14:paraId="5CD1D5EA" w14:textId="77777777" w:rsidR="00172209" w:rsidRPr="000326BA" w:rsidRDefault="00201E46" w:rsidP="00384F1D">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0326BA">
        <w:rPr>
          <w:rFonts w:ascii="微軟正黑體" w:eastAsia="微軟正黑體" w:hAnsi="微軟正黑體"/>
          <w:b/>
          <w:bCs/>
          <w:color w:val="990000"/>
          <w:szCs w:val="20"/>
        </w:rPr>
        <w:t>【</w:t>
      </w:r>
      <w:r w:rsidRPr="000326BA">
        <w:rPr>
          <w:rFonts w:ascii="微軟正黑體" w:eastAsia="微軟正黑體" w:hAnsi="微軟正黑體" w:hint="eastAsia"/>
          <w:b/>
          <w:bCs/>
          <w:color w:val="990000"/>
          <w:szCs w:val="20"/>
        </w:rPr>
        <w:t>大陸</w:t>
      </w:r>
      <w:r w:rsidRPr="000326BA">
        <w:rPr>
          <w:rFonts w:ascii="微軟正黑體" w:eastAsia="微軟正黑體" w:hAnsi="微軟正黑體"/>
          <w:b/>
          <w:bCs/>
          <w:color w:val="990000"/>
          <w:szCs w:val="20"/>
        </w:rPr>
        <w:t>法規】</w:t>
      </w:r>
      <w:r w:rsidR="00E946F7" w:rsidRPr="000326BA">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中華人民共和國船舶噸稅法</w:t>
      </w:r>
    </w:p>
    <w:p w14:paraId="79084FE4" w14:textId="77777777" w:rsidR="00201E46" w:rsidRPr="000326BA" w:rsidRDefault="00201E46" w:rsidP="00201E46">
      <w:pPr>
        <w:tabs>
          <w:tab w:val="num" w:pos="960"/>
        </w:tabs>
        <w:ind w:left="200" w:hangingChars="100" w:hanging="200"/>
        <w:rPr>
          <w:rFonts w:ascii="微軟正黑體" w:eastAsia="微軟正黑體" w:hAnsi="微軟正黑體"/>
          <w:color w:val="333333"/>
        </w:rPr>
      </w:pPr>
      <w:r w:rsidRPr="000326BA">
        <w:rPr>
          <w:rFonts w:ascii="微軟正黑體" w:eastAsia="微軟正黑體" w:hAnsi="微軟正黑體"/>
          <w:b/>
          <w:color w:val="990000"/>
        </w:rPr>
        <w:t>【</w:t>
      </w:r>
      <w:r w:rsidRPr="000326BA">
        <w:rPr>
          <w:rFonts w:ascii="微軟正黑體" w:eastAsia="微軟正黑體" w:hAnsi="微軟正黑體" w:hint="eastAsia"/>
          <w:b/>
          <w:color w:val="990000"/>
        </w:rPr>
        <w:t>發布單位</w:t>
      </w:r>
      <w:r w:rsidRPr="000326BA">
        <w:rPr>
          <w:rFonts w:ascii="微軟正黑體" w:eastAsia="微軟正黑體" w:hAnsi="微軟正黑體"/>
          <w:b/>
          <w:color w:val="990000"/>
        </w:rPr>
        <w:t>】</w:t>
      </w:r>
      <w:r w:rsidR="0087702E" w:rsidRPr="000326BA">
        <w:rPr>
          <w:rFonts w:ascii="微軟正黑體" w:eastAsia="微軟正黑體" w:hAnsi="微軟正黑體" w:hint="eastAsia"/>
          <w:szCs w:val="20"/>
        </w:rPr>
        <w:t>全國人民代表大會常務委員會</w:t>
      </w:r>
    </w:p>
    <w:p w14:paraId="4EEDCE85" w14:textId="4C155BF5" w:rsidR="00201E46" w:rsidRPr="000326BA" w:rsidRDefault="00201E46" w:rsidP="000326BA">
      <w:pPr>
        <w:tabs>
          <w:tab w:val="num" w:pos="960"/>
          <w:tab w:val="left" w:pos="7031"/>
        </w:tabs>
        <w:rPr>
          <w:rFonts w:ascii="微軟正黑體" w:eastAsia="微軟正黑體" w:hAnsi="微軟正黑體"/>
          <w:bCs/>
          <w:color w:val="333333"/>
          <w:szCs w:val="20"/>
        </w:rPr>
      </w:pPr>
      <w:r w:rsidRPr="000326BA">
        <w:rPr>
          <w:rFonts w:ascii="微軟正黑體" w:eastAsia="微軟正黑體" w:hAnsi="微軟正黑體"/>
          <w:b/>
          <w:color w:val="990000"/>
          <w:szCs w:val="20"/>
        </w:rPr>
        <w:t>【</w:t>
      </w:r>
      <w:r w:rsidR="002B6E03" w:rsidRPr="000326BA">
        <w:rPr>
          <w:rFonts w:ascii="微軟正黑體" w:eastAsia="微軟正黑體" w:hAnsi="微軟正黑體" w:hint="eastAsia"/>
          <w:b/>
          <w:color w:val="990000"/>
          <w:szCs w:val="20"/>
        </w:rPr>
        <w:t>發布/修正</w:t>
      </w:r>
      <w:r w:rsidRPr="000326BA">
        <w:rPr>
          <w:rFonts w:ascii="微軟正黑體" w:eastAsia="微軟正黑體" w:hAnsi="微軟正黑體"/>
          <w:b/>
          <w:color w:val="990000"/>
          <w:szCs w:val="20"/>
        </w:rPr>
        <w:t>】</w:t>
      </w:r>
      <w:r w:rsidR="002B6E03" w:rsidRPr="000326BA">
        <w:rPr>
          <w:rFonts w:ascii="微軟正黑體" w:eastAsia="微軟正黑體" w:hAnsi="微軟正黑體" w:hint="eastAsia"/>
          <w:bCs/>
          <w:color w:val="000000"/>
          <w:szCs w:val="20"/>
        </w:rPr>
        <w:t>2018年10月26日</w:t>
      </w:r>
    </w:p>
    <w:p w14:paraId="1418A55A" w14:textId="77777777" w:rsidR="00201E46" w:rsidRPr="000326BA" w:rsidRDefault="00201E46">
      <w:pPr>
        <w:ind w:left="1400" w:hangingChars="700" w:hanging="1400"/>
        <w:rPr>
          <w:rFonts w:ascii="微軟正黑體" w:eastAsia="微軟正黑體" w:hAnsi="微軟正黑體"/>
        </w:rPr>
      </w:pPr>
      <w:r w:rsidRPr="000326BA">
        <w:rPr>
          <w:rFonts w:ascii="微軟正黑體" w:eastAsia="微軟正黑體" w:hAnsi="微軟正黑體"/>
          <w:b/>
          <w:color w:val="990000"/>
        </w:rPr>
        <w:t>【</w:t>
      </w:r>
      <w:r w:rsidRPr="000326BA">
        <w:rPr>
          <w:rFonts w:ascii="微軟正黑體" w:eastAsia="微軟正黑體" w:hAnsi="微軟正黑體" w:hint="eastAsia"/>
          <w:b/>
          <w:color w:val="990000"/>
        </w:rPr>
        <w:t>實施日期</w:t>
      </w:r>
      <w:r w:rsidRPr="000326BA">
        <w:rPr>
          <w:rFonts w:ascii="微軟正黑體" w:eastAsia="微軟正黑體" w:hAnsi="微軟正黑體"/>
          <w:b/>
          <w:color w:val="990000"/>
        </w:rPr>
        <w:t>】</w:t>
      </w:r>
      <w:r w:rsidR="002B6E03" w:rsidRPr="000326BA">
        <w:rPr>
          <w:rFonts w:ascii="微軟正黑體" w:eastAsia="微軟正黑體" w:hAnsi="微軟正黑體" w:hint="eastAsia"/>
          <w:bCs/>
          <w:color w:val="000000"/>
        </w:rPr>
        <w:t>2018年10月26日</w:t>
      </w:r>
    </w:p>
    <w:p w14:paraId="108C29CB" w14:textId="77777777" w:rsidR="007F4860" w:rsidRPr="000326BA" w:rsidRDefault="007F4860" w:rsidP="007F4860">
      <w:pPr>
        <w:jc w:val="right"/>
        <w:rPr>
          <w:rFonts w:ascii="微軟正黑體" w:eastAsia="微軟正黑體" w:hAnsi="微軟正黑體"/>
          <w:color w:val="000000"/>
          <w:u w:val="single"/>
        </w:rPr>
      </w:pPr>
    </w:p>
    <w:p w14:paraId="6C2BF7C8" w14:textId="77777777" w:rsidR="007F4860" w:rsidRPr="000326BA" w:rsidRDefault="007F4860" w:rsidP="007F4860">
      <w:pPr>
        <w:pStyle w:val="1"/>
        <w:spacing w:beforeLines="30" w:before="108" w:beforeAutospacing="0" w:afterLines="30" w:after="108" w:afterAutospacing="0"/>
        <w:rPr>
          <w:rFonts w:ascii="微軟正黑體" w:eastAsia="微軟正黑體" w:hAnsi="微軟正黑體"/>
          <w:color w:val="990000"/>
        </w:rPr>
      </w:pPr>
      <w:r w:rsidRPr="000326BA">
        <w:rPr>
          <w:rFonts w:ascii="微軟正黑體" w:eastAsia="微軟正黑體" w:hAnsi="微軟正黑體"/>
          <w:color w:val="990000"/>
        </w:rPr>
        <w:t>【</w:t>
      </w:r>
      <w:r w:rsidRPr="000326BA">
        <w:rPr>
          <w:rFonts w:ascii="微軟正黑體" w:eastAsia="微軟正黑體" w:hAnsi="微軟正黑體" w:hint="eastAsia"/>
          <w:color w:val="990000"/>
        </w:rPr>
        <w:t>法規沿革</w:t>
      </w:r>
      <w:r w:rsidRPr="000326BA">
        <w:rPr>
          <w:rFonts w:ascii="微軟正黑體" w:eastAsia="微軟正黑體" w:hAnsi="微軟正黑體"/>
          <w:color w:val="990000"/>
        </w:rPr>
        <w:t>】</w:t>
      </w:r>
    </w:p>
    <w:p w14:paraId="6DCDA5D8" w14:textId="77777777" w:rsidR="007F4860" w:rsidRPr="000326BA" w:rsidRDefault="007F4860" w:rsidP="007F4860">
      <w:pPr>
        <w:rPr>
          <w:rFonts w:ascii="微軟正黑體" w:eastAsia="微軟正黑體" w:hAnsi="微軟正黑體"/>
          <w:sz w:val="18"/>
        </w:rPr>
      </w:pPr>
      <w:r w:rsidRPr="000326BA">
        <w:rPr>
          <w:rFonts w:ascii="微軟正黑體" w:eastAsia="微軟正黑體" w:hAnsi="微軟正黑體" w:hint="eastAsia"/>
          <w:sz w:val="18"/>
        </w:rPr>
        <w:t>‧2017年12月27日第十二屆全國人民代表大會常務委員會第三十一次會議通過；2017年12月27日中華人民共和國主席令第八十五號公布；自2018年7月1日起施行</w:t>
      </w:r>
    </w:p>
    <w:p w14:paraId="056048C8" w14:textId="77777777" w:rsidR="007F4860" w:rsidRPr="000326BA" w:rsidRDefault="007F4860" w:rsidP="007F4860">
      <w:pPr>
        <w:rPr>
          <w:rFonts w:ascii="微軟正黑體" w:eastAsia="微軟正黑體" w:hAnsi="微軟正黑體"/>
          <w:sz w:val="18"/>
        </w:rPr>
      </w:pPr>
      <w:r w:rsidRPr="000326BA">
        <w:rPr>
          <w:rFonts w:ascii="微軟正黑體" w:eastAsia="微軟正黑體" w:hAnsi="微軟正黑體" w:hint="eastAsia"/>
          <w:sz w:val="18"/>
          <w:szCs w:val="18"/>
        </w:rPr>
        <w:t>‧2018年10月26日第十三屆全國人民代表大會常務委員會第六次會議《</w:t>
      </w:r>
      <w:hyperlink r:id="rId15" w:anchor="a15" w:history="1">
        <w:r w:rsidRPr="000326BA">
          <w:rPr>
            <w:rStyle w:val="a3"/>
            <w:rFonts w:ascii="微軟正黑體" w:eastAsia="微軟正黑體" w:hAnsi="微軟正黑體" w:hint="eastAsia"/>
            <w:sz w:val="18"/>
            <w:szCs w:val="18"/>
          </w:rPr>
          <w:t>全國人民代表大會常務委員會關於修改〈中華人民共和國野生動物保護法〉等十五部法律的決定</w:t>
        </w:r>
      </w:hyperlink>
      <w:r w:rsidRPr="000326BA">
        <w:rPr>
          <w:rFonts w:ascii="微軟正黑體" w:eastAsia="微軟正黑體" w:hAnsi="微軟正黑體" w:hint="eastAsia"/>
          <w:sz w:val="18"/>
          <w:szCs w:val="18"/>
        </w:rPr>
        <w:t>》修正</w:t>
      </w:r>
      <w:r w:rsidRPr="000326BA">
        <w:rPr>
          <w:rFonts w:ascii="微軟正黑體" w:eastAsia="微軟正黑體" w:hAnsi="微軟正黑體" w:hint="eastAsia"/>
          <w:color w:val="000000"/>
          <w:sz w:val="18"/>
        </w:rPr>
        <w:t>（</w:t>
      </w:r>
      <w:r w:rsidRPr="000326BA">
        <w:rPr>
          <w:rFonts w:ascii="微軟正黑體" w:eastAsia="微軟正黑體" w:hAnsi="微軟正黑體" w:hint="eastAsia"/>
          <w:sz w:val="18"/>
        </w:rPr>
        <w:t>註：</w:t>
      </w:r>
      <w:r w:rsidRPr="000326BA">
        <w:rPr>
          <w:rFonts w:ascii="微軟正黑體" w:eastAsia="微軟正黑體" w:hAnsi="微軟正黑體" w:hint="eastAsia"/>
          <w:kern w:val="0"/>
          <w:sz w:val="18"/>
        </w:rPr>
        <w:t>修改</w:t>
      </w:r>
      <w:r w:rsidRPr="000326BA">
        <w:rPr>
          <w:rFonts w:ascii="微軟正黑體" w:eastAsia="微軟正黑體" w:hAnsi="微軟正黑體" w:hint="eastAsia"/>
          <w:sz w:val="18"/>
        </w:rPr>
        <w:t>第</w:t>
      </w:r>
      <w:hyperlink w:anchor="a11" w:history="1">
        <w:r w:rsidRPr="000326BA">
          <w:rPr>
            <w:rStyle w:val="a3"/>
            <w:rFonts w:ascii="微軟正黑體" w:eastAsia="微軟正黑體" w:hAnsi="微軟正黑體" w:hint="eastAsia"/>
            <w:sz w:val="18"/>
          </w:rPr>
          <w:t>十一</w:t>
        </w:r>
      </w:hyperlink>
      <w:r w:rsidRPr="000326BA">
        <w:rPr>
          <w:rFonts w:ascii="微軟正黑體" w:eastAsia="微軟正黑體" w:hAnsi="微軟正黑體" w:hint="eastAsia"/>
          <w:sz w:val="18"/>
        </w:rPr>
        <w:t>條</w:t>
      </w:r>
      <w:r w:rsidRPr="000326BA">
        <w:rPr>
          <w:rFonts w:ascii="微軟正黑體" w:eastAsia="微軟正黑體" w:hAnsi="微軟正黑體" w:hint="eastAsia"/>
          <w:color w:val="000000"/>
          <w:sz w:val="18"/>
        </w:rPr>
        <w:t>）</w:t>
      </w:r>
    </w:p>
    <w:p w14:paraId="59D4D721" w14:textId="77777777" w:rsidR="007F4860" w:rsidRPr="000326BA" w:rsidRDefault="007F4860" w:rsidP="007F4860">
      <w:pPr>
        <w:rPr>
          <w:rFonts w:ascii="微軟正黑體" w:eastAsia="微軟正黑體" w:hAnsi="微軟正黑體"/>
        </w:rPr>
      </w:pPr>
    </w:p>
    <w:p w14:paraId="554DE8D9" w14:textId="5A8C5A12" w:rsidR="007F4860" w:rsidRPr="000326BA" w:rsidRDefault="000326BA" w:rsidP="007F4860">
      <w:pPr>
        <w:pStyle w:val="1"/>
        <w:rPr>
          <w:rFonts w:ascii="微軟正黑體" w:eastAsia="微軟正黑體" w:hAnsi="微軟正黑體"/>
          <w:color w:val="990000"/>
          <w:szCs w:val="27"/>
          <w:lang w:val="zh-TW"/>
        </w:rPr>
      </w:pPr>
      <w:r w:rsidRPr="000326BA">
        <w:rPr>
          <w:rFonts w:ascii="微軟正黑體" w:eastAsia="微軟正黑體" w:hAnsi="微軟正黑體"/>
          <w:color w:val="990000"/>
        </w:rPr>
        <w:t>【法規內容】</w:t>
      </w:r>
    </w:p>
    <w:p w14:paraId="36F9F0A1" w14:textId="77777777" w:rsidR="000326BA" w:rsidRPr="000326BA" w:rsidRDefault="007F4860" w:rsidP="007F4860">
      <w:pPr>
        <w:pStyle w:val="2"/>
        <w:rPr>
          <w:rFonts w:ascii="微軟正黑體" w:eastAsia="微軟正黑體" w:hAnsi="微軟正黑體" w:hint="eastAsia"/>
        </w:rPr>
      </w:pPr>
      <w:bookmarkStart w:id="2" w:name="_第一章__總"/>
      <w:bookmarkStart w:id="3" w:name="a1"/>
      <w:bookmarkEnd w:id="2"/>
      <w:bookmarkEnd w:id="3"/>
      <w:r w:rsidRPr="000326BA">
        <w:rPr>
          <w:rFonts w:ascii="微軟正黑體" w:eastAsia="微軟正黑體" w:hAnsi="微軟正黑體" w:hint="eastAsia"/>
        </w:rPr>
        <w:t>第1</w:t>
      </w:r>
      <w:r w:rsidR="000326BA" w:rsidRPr="000326BA">
        <w:rPr>
          <w:rFonts w:ascii="微軟正黑體" w:eastAsia="微軟正黑體" w:hAnsi="微軟正黑體" w:hint="eastAsia"/>
        </w:rPr>
        <w:t>條</w:t>
      </w:r>
    </w:p>
    <w:p w14:paraId="51027860" w14:textId="06B52F49"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hint="eastAsia"/>
          <w:color w:val="404040" w:themeColor="text1" w:themeTint="BF"/>
          <w:sz w:val="18"/>
        </w:rPr>
        <w:t>﹝1﹞</w:t>
      </w:r>
      <w:r w:rsidR="007F4860" w:rsidRPr="000326BA">
        <w:rPr>
          <w:rFonts w:ascii="微軟正黑體" w:eastAsia="微軟正黑體" w:hAnsi="微軟正黑體"/>
        </w:rPr>
        <w:t>自中華人民共和國境外港口進入境內港口的船舶（以下稱應稅船舶），應當依照本法繳納船舶噸稅（以下簡稱噸稅）。</w:t>
      </w:r>
    </w:p>
    <w:p w14:paraId="1F794CDB" w14:textId="77777777" w:rsidR="000326BA" w:rsidRPr="000326BA" w:rsidRDefault="007F4860" w:rsidP="007F4860">
      <w:pPr>
        <w:pStyle w:val="2"/>
        <w:rPr>
          <w:rFonts w:ascii="微軟正黑體" w:eastAsia="微軟正黑體" w:hAnsi="微軟正黑體"/>
        </w:rPr>
      </w:pPr>
      <w:bookmarkStart w:id="4" w:name="a2"/>
      <w:bookmarkEnd w:id="4"/>
      <w:r w:rsidRPr="000326BA">
        <w:rPr>
          <w:rFonts w:ascii="微軟正黑體" w:eastAsia="微軟正黑體" w:hAnsi="微軟正黑體"/>
        </w:rPr>
        <w:t>第2</w:t>
      </w:r>
      <w:r w:rsidR="000326BA" w:rsidRPr="000326BA">
        <w:rPr>
          <w:rFonts w:ascii="微軟正黑體" w:eastAsia="微軟正黑體" w:hAnsi="微軟正黑體"/>
        </w:rPr>
        <w:t>條</w:t>
      </w:r>
    </w:p>
    <w:p w14:paraId="7443C4BC" w14:textId="0D634CA6"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噸稅的稅目、稅率依照本法所附的《噸稅稅目稅率表》執行。</w:t>
      </w:r>
    </w:p>
    <w:p w14:paraId="24FD1510" w14:textId="77777777" w:rsidR="000326BA" w:rsidRPr="000326BA" w:rsidRDefault="007F4860" w:rsidP="007F4860">
      <w:pPr>
        <w:pStyle w:val="2"/>
        <w:rPr>
          <w:rFonts w:ascii="微軟正黑體" w:eastAsia="微軟正黑體" w:hAnsi="微軟正黑體"/>
        </w:rPr>
      </w:pPr>
      <w:bookmarkStart w:id="5" w:name="a3"/>
      <w:bookmarkEnd w:id="5"/>
      <w:r w:rsidRPr="000326BA">
        <w:rPr>
          <w:rFonts w:ascii="微軟正黑體" w:eastAsia="微軟正黑體" w:hAnsi="微軟正黑體"/>
        </w:rPr>
        <w:t>第3</w:t>
      </w:r>
      <w:r w:rsidR="000326BA" w:rsidRPr="000326BA">
        <w:rPr>
          <w:rFonts w:ascii="微軟正黑體" w:eastAsia="微軟正黑體" w:hAnsi="微軟正黑體"/>
        </w:rPr>
        <w:t>條</w:t>
      </w:r>
    </w:p>
    <w:p w14:paraId="269FD7FB" w14:textId="132B8C85"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噸稅設置優惠稅率和普通稅率</w:t>
      </w:r>
      <w:r w:rsidRPr="000326BA">
        <w:rPr>
          <w:rFonts w:ascii="微軟正黑體" w:eastAsia="微軟正黑體" w:hAnsi="微軟正黑體"/>
        </w:rPr>
        <w:t>。</w:t>
      </w:r>
    </w:p>
    <w:p w14:paraId="2D12AEFC" w14:textId="759B24DD"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﹝2﹞</w:t>
      </w:r>
      <w:r w:rsidRPr="000326BA">
        <w:rPr>
          <w:rFonts w:ascii="微軟正黑體" w:eastAsia="微軟正黑體" w:hAnsi="微軟正黑體"/>
          <w:color w:val="17365D"/>
        </w:rPr>
        <w:t>中華人民共和國籍的應稅船舶，船籍國（地區）與中華人民共和國簽訂含有相互給予船舶稅費最惠國待遇條款的條約或者協定的應稅船舶，適用優惠稅率</w:t>
      </w:r>
      <w:r w:rsidRPr="000326BA">
        <w:rPr>
          <w:rFonts w:ascii="微軟正黑體" w:eastAsia="微軟正黑體" w:hAnsi="微軟正黑體"/>
        </w:rPr>
        <w:t>。</w:t>
      </w:r>
    </w:p>
    <w:p w14:paraId="3A92762F" w14:textId="0DFD0B14"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﹝3﹞</w:t>
      </w:r>
      <w:r w:rsidR="007F4860" w:rsidRPr="000326BA">
        <w:rPr>
          <w:rFonts w:ascii="微軟正黑體" w:eastAsia="微軟正黑體" w:hAnsi="微軟正黑體"/>
        </w:rPr>
        <w:t>其他應稅船舶，適用普通稅率。</w:t>
      </w:r>
    </w:p>
    <w:p w14:paraId="7D56857D" w14:textId="77777777" w:rsidR="000326BA" w:rsidRPr="000326BA" w:rsidRDefault="007F4860" w:rsidP="007F4860">
      <w:pPr>
        <w:pStyle w:val="2"/>
        <w:rPr>
          <w:rFonts w:ascii="微軟正黑體" w:eastAsia="微軟正黑體" w:hAnsi="微軟正黑體"/>
        </w:rPr>
      </w:pPr>
      <w:bookmarkStart w:id="6" w:name="a4"/>
      <w:bookmarkEnd w:id="6"/>
      <w:r w:rsidRPr="000326BA">
        <w:rPr>
          <w:rFonts w:ascii="微軟正黑體" w:eastAsia="微軟正黑體" w:hAnsi="微軟正黑體"/>
        </w:rPr>
        <w:t>第4</w:t>
      </w:r>
      <w:r w:rsidR="000326BA" w:rsidRPr="000326BA">
        <w:rPr>
          <w:rFonts w:ascii="微軟正黑體" w:eastAsia="微軟正黑體" w:hAnsi="微軟正黑體"/>
        </w:rPr>
        <w:t>條</w:t>
      </w:r>
    </w:p>
    <w:p w14:paraId="171A6CC4" w14:textId="446F0AB5"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噸稅按照船舶淨噸位和噸稅執照期限徵收</w:t>
      </w:r>
      <w:r w:rsidRPr="000326BA">
        <w:rPr>
          <w:rFonts w:ascii="微軟正黑體" w:eastAsia="微軟正黑體" w:hAnsi="微軟正黑體"/>
        </w:rPr>
        <w:t>。</w:t>
      </w:r>
    </w:p>
    <w:p w14:paraId="489E4277" w14:textId="11EB1682" w:rsidR="007F4860" w:rsidRPr="000326BA" w:rsidRDefault="000326BA" w:rsidP="007F4860">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﹝2﹞</w:t>
      </w:r>
      <w:r w:rsidR="007F4860" w:rsidRPr="000326BA">
        <w:rPr>
          <w:rFonts w:ascii="微軟正黑體" w:eastAsia="微軟正黑體" w:hAnsi="微軟正黑體"/>
          <w:color w:val="17365D"/>
        </w:rPr>
        <w:t>應稅船舶負責人在每次申報納稅時，可以按照《噸稅稅目稅率表》選擇申領一種期限的噸稅執照。</w:t>
      </w:r>
    </w:p>
    <w:p w14:paraId="48287CAB" w14:textId="77777777" w:rsidR="000326BA" w:rsidRPr="000326BA" w:rsidRDefault="007F4860" w:rsidP="007F4860">
      <w:pPr>
        <w:pStyle w:val="2"/>
        <w:rPr>
          <w:rFonts w:ascii="微軟正黑體" w:eastAsia="微軟正黑體" w:hAnsi="微軟正黑體"/>
        </w:rPr>
      </w:pPr>
      <w:bookmarkStart w:id="7" w:name="a5"/>
      <w:bookmarkEnd w:id="7"/>
      <w:r w:rsidRPr="000326BA">
        <w:rPr>
          <w:rFonts w:ascii="微軟正黑體" w:eastAsia="微軟正黑體" w:hAnsi="微軟正黑體"/>
        </w:rPr>
        <w:t>第5</w:t>
      </w:r>
      <w:r w:rsidR="000326BA" w:rsidRPr="000326BA">
        <w:rPr>
          <w:rFonts w:ascii="微軟正黑體" w:eastAsia="微軟正黑體" w:hAnsi="微軟正黑體"/>
        </w:rPr>
        <w:t>條</w:t>
      </w:r>
    </w:p>
    <w:p w14:paraId="1AE8F7B3" w14:textId="483C7E87"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噸稅的應納稅額按照船舶淨噸位乘以適用稅率計算。</w:t>
      </w:r>
    </w:p>
    <w:p w14:paraId="05E71911" w14:textId="77777777" w:rsidR="000326BA" w:rsidRPr="000326BA" w:rsidRDefault="007F4860" w:rsidP="007F4860">
      <w:pPr>
        <w:pStyle w:val="2"/>
        <w:rPr>
          <w:rFonts w:ascii="微軟正黑體" w:eastAsia="微軟正黑體" w:hAnsi="微軟正黑體"/>
        </w:rPr>
      </w:pPr>
      <w:bookmarkStart w:id="8" w:name="a6"/>
      <w:bookmarkEnd w:id="8"/>
      <w:r w:rsidRPr="000326BA">
        <w:rPr>
          <w:rFonts w:ascii="微軟正黑體" w:eastAsia="微軟正黑體" w:hAnsi="微軟正黑體"/>
        </w:rPr>
        <w:t>第6</w:t>
      </w:r>
      <w:r w:rsidR="000326BA" w:rsidRPr="000326BA">
        <w:rPr>
          <w:rFonts w:ascii="微軟正黑體" w:eastAsia="微軟正黑體" w:hAnsi="微軟正黑體"/>
        </w:rPr>
        <w:t>條</w:t>
      </w:r>
    </w:p>
    <w:p w14:paraId="250D8BD8" w14:textId="411A7F80"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噸稅由海關負責徵收。海關徵收噸稅應當制發繳款憑證</w:t>
      </w:r>
      <w:r w:rsidRPr="000326BA">
        <w:rPr>
          <w:rFonts w:ascii="微軟正黑體" w:eastAsia="微軟正黑體" w:hAnsi="微軟正黑體"/>
        </w:rPr>
        <w:t>。</w:t>
      </w:r>
    </w:p>
    <w:p w14:paraId="7D3B2EFE" w14:textId="276EC3E8"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﹝2﹞</w:t>
      </w:r>
      <w:r w:rsidR="007F4860" w:rsidRPr="000326BA">
        <w:rPr>
          <w:rFonts w:ascii="微軟正黑體" w:eastAsia="微軟正黑體" w:hAnsi="微軟正黑體"/>
        </w:rPr>
        <w:t>應稅船舶負責人繳納噸稅或者提供擔保後，海關按照其申領的執照期限填發噸稅執照。</w:t>
      </w:r>
    </w:p>
    <w:p w14:paraId="4F8A822F" w14:textId="77777777" w:rsidR="000326BA" w:rsidRPr="000326BA" w:rsidRDefault="007F4860" w:rsidP="007F4860">
      <w:pPr>
        <w:pStyle w:val="2"/>
        <w:rPr>
          <w:rFonts w:ascii="微軟正黑體" w:eastAsia="微軟正黑體" w:hAnsi="微軟正黑體"/>
        </w:rPr>
      </w:pPr>
      <w:bookmarkStart w:id="9" w:name="a7"/>
      <w:bookmarkEnd w:id="9"/>
      <w:r w:rsidRPr="000326BA">
        <w:rPr>
          <w:rFonts w:ascii="微軟正黑體" w:eastAsia="微軟正黑體" w:hAnsi="微軟正黑體"/>
        </w:rPr>
        <w:t>第7</w:t>
      </w:r>
      <w:r w:rsidR="000326BA" w:rsidRPr="000326BA">
        <w:rPr>
          <w:rFonts w:ascii="微軟正黑體" w:eastAsia="微軟正黑體" w:hAnsi="微軟正黑體"/>
        </w:rPr>
        <w:t>條</w:t>
      </w:r>
    </w:p>
    <w:p w14:paraId="6EE104E1" w14:textId="42533F61"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應稅船舶在進入港口辦理入境手續時，應當向海關申報納稅領取噸稅執照，或者交驗噸稅執照（或者申請核驗噸稅執照電子資訊）。應稅船舶在離開港口辦理出境手續時，應當交驗噸稅執照（或者申請核驗噸稅執照電子資訊）</w:t>
      </w:r>
      <w:r w:rsidRPr="000326BA">
        <w:rPr>
          <w:rFonts w:ascii="微軟正黑體" w:eastAsia="微軟正黑體" w:hAnsi="微軟正黑體"/>
        </w:rPr>
        <w:t>。</w:t>
      </w:r>
    </w:p>
    <w:p w14:paraId="618507E4" w14:textId="0D272F5E" w:rsidR="000326BA" w:rsidRPr="000326BA" w:rsidRDefault="000326BA" w:rsidP="007F4860">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﹝2﹞</w:t>
      </w:r>
      <w:r w:rsidRPr="000326BA">
        <w:rPr>
          <w:rFonts w:ascii="微軟正黑體" w:eastAsia="微軟正黑體" w:hAnsi="微軟正黑體"/>
          <w:color w:val="17365D"/>
        </w:rPr>
        <w:t>應稅船舶負責人申領噸稅執照時，應當向海關提供下列文件：</w:t>
      </w:r>
    </w:p>
    <w:p w14:paraId="478CA219" w14:textId="77777777" w:rsidR="000326BA" w:rsidRPr="000326BA" w:rsidRDefault="000326BA" w:rsidP="007F4860">
      <w:pPr>
        <w:ind w:left="142"/>
        <w:rPr>
          <w:rFonts w:ascii="微軟正黑體" w:eastAsia="微軟正黑體" w:hAnsi="微軟正黑體"/>
          <w:color w:val="17365D"/>
        </w:rPr>
      </w:pPr>
      <w:r w:rsidRPr="000326BA">
        <w:rPr>
          <w:rFonts w:ascii="微軟正黑體" w:eastAsia="微軟正黑體" w:hAnsi="微軟正黑體"/>
          <w:color w:val="17365D"/>
        </w:rPr>
        <w:t xml:space="preserve">　　（一）船舶國籍證書或者海事部門簽發的船舶國籍證書收存證明；</w:t>
      </w:r>
    </w:p>
    <w:p w14:paraId="062A6B1A" w14:textId="793384FA"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17365D"/>
        </w:rPr>
        <w:t xml:space="preserve">　　（二）船舶噸位證明</w:t>
      </w:r>
      <w:r w:rsidRPr="000326BA">
        <w:rPr>
          <w:rFonts w:ascii="微軟正黑體" w:eastAsia="微軟正黑體" w:hAnsi="微軟正黑體"/>
        </w:rPr>
        <w:t>。</w:t>
      </w:r>
    </w:p>
    <w:p w14:paraId="386AC32D" w14:textId="3E0D703D"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﹝3﹞</w:t>
      </w:r>
      <w:r w:rsidR="007F4860" w:rsidRPr="000326BA">
        <w:rPr>
          <w:rFonts w:ascii="微軟正黑體" w:eastAsia="微軟正黑體" w:hAnsi="微軟正黑體"/>
        </w:rPr>
        <w:t>應稅船舶因不可抗力在未設立海關地點停泊的，船舶負責人應當立即向附近海關報告，並在不可抗力原因消除後，依照本法規定向海關申報納稅。</w:t>
      </w:r>
    </w:p>
    <w:p w14:paraId="0E2F777F" w14:textId="77777777" w:rsidR="000326BA" w:rsidRPr="000326BA" w:rsidRDefault="007F4860" w:rsidP="007F4860">
      <w:pPr>
        <w:pStyle w:val="2"/>
        <w:rPr>
          <w:rFonts w:ascii="微軟正黑體" w:eastAsia="微軟正黑體" w:hAnsi="微軟正黑體"/>
        </w:rPr>
      </w:pPr>
      <w:bookmarkStart w:id="10" w:name="a8"/>
      <w:bookmarkEnd w:id="10"/>
      <w:r w:rsidRPr="000326BA">
        <w:rPr>
          <w:rFonts w:ascii="微軟正黑體" w:eastAsia="微軟正黑體" w:hAnsi="微軟正黑體"/>
        </w:rPr>
        <w:t>第8</w:t>
      </w:r>
      <w:r w:rsidR="000326BA" w:rsidRPr="000326BA">
        <w:rPr>
          <w:rFonts w:ascii="微軟正黑體" w:eastAsia="微軟正黑體" w:hAnsi="微軟正黑體"/>
        </w:rPr>
        <w:t>條</w:t>
      </w:r>
    </w:p>
    <w:p w14:paraId="41D536E5" w14:textId="6BA75466" w:rsidR="000326BA"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噸稅納稅義務發生時間為應稅船舶進入港口的當日</w:t>
      </w:r>
      <w:r w:rsidRPr="000326BA">
        <w:rPr>
          <w:rFonts w:ascii="微軟正黑體" w:eastAsia="微軟正黑體" w:hAnsi="微軟正黑體"/>
        </w:rPr>
        <w:t>。</w:t>
      </w:r>
    </w:p>
    <w:p w14:paraId="21D390AD" w14:textId="627E4FF6" w:rsidR="007F4860" w:rsidRPr="000326BA" w:rsidRDefault="000326BA" w:rsidP="007F4860">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﹝2﹞</w:t>
      </w:r>
      <w:r w:rsidR="007F4860" w:rsidRPr="000326BA">
        <w:rPr>
          <w:rFonts w:ascii="微軟正黑體" w:eastAsia="微軟正黑體" w:hAnsi="微軟正黑體"/>
          <w:color w:val="17365D"/>
        </w:rPr>
        <w:t>應稅船舶在噸稅執照期滿後尚未離開港口的，應當申領新的噸稅執照，自上一次執照期滿的次日起續繳噸稅。</w:t>
      </w:r>
    </w:p>
    <w:p w14:paraId="460C688E" w14:textId="77777777" w:rsidR="000326BA" w:rsidRPr="000326BA" w:rsidRDefault="007F4860" w:rsidP="007F4860">
      <w:pPr>
        <w:pStyle w:val="2"/>
        <w:rPr>
          <w:rFonts w:ascii="微軟正黑體" w:eastAsia="微軟正黑體" w:hAnsi="微軟正黑體"/>
        </w:rPr>
      </w:pPr>
      <w:bookmarkStart w:id="11" w:name="a9"/>
      <w:bookmarkEnd w:id="11"/>
      <w:r w:rsidRPr="000326BA">
        <w:rPr>
          <w:rFonts w:ascii="微軟正黑體" w:eastAsia="微軟正黑體" w:hAnsi="微軟正黑體"/>
        </w:rPr>
        <w:t>第9</w:t>
      </w:r>
      <w:r w:rsidR="000326BA" w:rsidRPr="000326BA">
        <w:rPr>
          <w:rFonts w:ascii="微軟正黑體" w:eastAsia="微軟正黑體" w:hAnsi="微軟正黑體"/>
        </w:rPr>
        <w:t>條</w:t>
      </w:r>
    </w:p>
    <w:p w14:paraId="68020725" w14:textId="65A1CFD8"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下列船舶免徵噸稅：</w:t>
      </w:r>
    </w:p>
    <w:p w14:paraId="30D904F6"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（一）應納稅額在人民幣五十元以下的船舶；</w:t>
      </w:r>
    </w:p>
    <w:p w14:paraId="10A02823"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（二）自境外以購買、受贈、繼承等方式取得船舶所有權的初次進口到港的空載船舶；</w:t>
      </w:r>
    </w:p>
    <w:p w14:paraId="6B30873A"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（三）噸稅執照期滿後二十四小時內不上下客貨的船舶；</w:t>
      </w:r>
    </w:p>
    <w:p w14:paraId="3FC0A4F8"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（四）非機動船舶（不包括非機動駁船）；</w:t>
      </w:r>
    </w:p>
    <w:p w14:paraId="5C85A352"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（五）捕撈、養殖漁船；</w:t>
      </w:r>
    </w:p>
    <w:p w14:paraId="0DD769D8"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（六）避難、防疫隔離、修理、改造、終止運營或者拆解，並不上下客貨的船舶；</w:t>
      </w:r>
    </w:p>
    <w:p w14:paraId="1C0429E9"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（七）軍隊、武裝警察部隊專用或者徵用的船舶；</w:t>
      </w:r>
    </w:p>
    <w:p w14:paraId="66C88A16"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（八）警用船舶；</w:t>
      </w:r>
    </w:p>
    <w:p w14:paraId="366661E8"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（九）依照法律規定應當予以免稅的外國駐華使領館、國際組織駐華代表機構及其有關人員的船舶；</w:t>
      </w:r>
    </w:p>
    <w:p w14:paraId="20D52F0D" w14:textId="77777777" w:rsidR="000326BA"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（十）國務院規定的其他船舶</w:t>
      </w:r>
      <w:r w:rsidR="000326BA" w:rsidRPr="000326BA">
        <w:rPr>
          <w:rFonts w:ascii="微軟正黑體" w:eastAsia="微軟正黑體" w:hAnsi="微軟正黑體"/>
        </w:rPr>
        <w:t>。</w:t>
      </w:r>
    </w:p>
    <w:p w14:paraId="37CE2610" w14:textId="6674C7AF"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﹝2﹞</w:t>
      </w:r>
      <w:r w:rsidR="007F4860" w:rsidRPr="000326BA">
        <w:rPr>
          <w:rFonts w:ascii="微軟正黑體" w:eastAsia="微軟正黑體" w:hAnsi="微軟正黑體"/>
        </w:rPr>
        <w:t>前款第十項免稅規定，由國務院報全國人民代表大會常務委員會備案。</w:t>
      </w:r>
    </w:p>
    <w:p w14:paraId="0374FE74" w14:textId="77777777" w:rsidR="000326BA" w:rsidRPr="000326BA" w:rsidRDefault="007F4860" w:rsidP="007F4860">
      <w:pPr>
        <w:pStyle w:val="2"/>
        <w:rPr>
          <w:rFonts w:ascii="微軟正黑體" w:eastAsia="微軟正黑體" w:hAnsi="微軟正黑體"/>
        </w:rPr>
      </w:pPr>
      <w:bookmarkStart w:id="12" w:name="a10"/>
      <w:bookmarkEnd w:id="12"/>
      <w:r w:rsidRPr="000326BA">
        <w:rPr>
          <w:rFonts w:ascii="微軟正黑體" w:eastAsia="微軟正黑體" w:hAnsi="微軟正黑體"/>
        </w:rPr>
        <w:t>第10</w:t>
      </w:r>
      <w:r w:rsidR="000326BA" w:rsidRPr="000326BA">
        <w:rPr>
          <w:rFonts w:ascii="微軟正黑體" w:eastAsia="微軟正黑體" w:hAnsi="微軟正黑體"/>
        </w:rPr>
        <w:t>條</w:t>
      </w:r>
    </w:p>
    <w:p w14:paraId="10806B02" w14:textId="6A95CDD2" w:rsidR="007F4860" w:rsidRPr="000326BA" w:rsidRDefault="000326BA"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在噸稅執照期限內，應稅船舶發生下列情形之一的，海關按照實際發生的天數批註延長噸稅執照期限：</w:t>
      </w:r>
    </w:p>
    <w:p w14:paraId="2995D4B7"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（一）避難、防疫隔離、修理、改造，並不上下客貨；</w:t>
      </w:r>
    </w:p>
    <w:p w14:paraId="740E31AA" w14:textId="77777777" w:rsidR="007F4860" w:rsidRPr="000326BA" w:rsidRDefault="007F4860" w:rsidP="007F4860">
      <w:pPr>
        <w:ind w:left="142"/>
        <w:rPr>
          <w:rFonts w:ascii="微軟正黑體" w:eastAsia="微軟正黑體" w:hAnsi="微軟正黑體"/>
        </w:rPr>
      </w:pPr>
      <w:r w:rsidRPr="000326BA">
        <w:rPr>
          <w:rFonts w:ascii="微軟正黑體" w:eastAsia="微軟正黑體" w:hAnsi="微軟正黑體"/>
        </w:rPr>
        <w:t xml:space="preserve">　　（二）軍隊、武裝警察部隊徵用。</w:t>
      </w:r>
    </w:p>
    <w:p w14:paraId="3BAB1B27" w14:textId="77777777" w:rsidR="000326BA" w:rsidRPr="000326BA" w:rsidRDefault="007F4860" w:rsidP="007F4860">
      <w:pPr>
        <w:pStyle w:val="2"/>
        <w:rPr>
          <w:rFonts w:ascii="微軟正黑體" w:eastAsia="微軟正黑體" w:hAnsi="微軟正黑體" w:hint="eastAsia"/>
          <w:b w:val="0"/>
          <w:color w:val="FFFFFF" w:themeColor="background1"/>
        </w:rPr>
      </w:pPr>
      <w:bookmarkStart w:id="13" w:name="a11"/>
      <w:bookmarkEnd w:id="13"/>
      <w:r w:rsidRPr="000326BA">
        <w:rPr>
          <w:rFonts w:ascii="微軟正黑體" w:eastAsia="微軟正黑體" w:hAnsi="微軟正黑體"/>
        </w:rPr>
        <w:t>第11條</w:t>
      </w:r>
      <w:r w:rsidR="000326BA" w:rsidRPr="000326BA">
        <w:rPr>
          <w:rFonts w:ascii="微軟正黑體" w:eastAsia="微軟正黑體" w:hAnsi="微軟正黑體" w:hint="eastAsia"/>
          <w:b w:val="0"/>
          <w:color w:val="FFFFFF" w:themeColor="background1"/>
        </w:rPr>
        <w:t>∵</w:t>
      </w:r>
    </w:p>
    <w:p w14:paraId="569B5B4D" w14:textId="01C23C22" w:rsidR="007F4860" w:rsidRPr="000326BA" w:rsidRDefault="00C257E5" w:rsidP="007F4860">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7F4860" w:rsidRPr="000326BA">
        <w:rPr>
          <w:rFonts w:ascii="微軟正黑體" w:eastAsia="微軟正黑體" w:hAnsi="微軟正黑體"/>
        </w:rPr>
        <w:t>符合本法</w:t>
      </w:r>
      <w:hyperlink w:anchor="a9" w:history="1">
        <w:r w:rsidR="007F4860" w:rsidRPr="000326BA">
          <w:rPr>
            <w:rStyle w:val="a3"/>
            <w:rFonts w:ascii="微軟正黑體" w:eastAsia="微軟正黑體" w:hAnsi="微軟正黑體"/>
          </w:rPr>
          <w:t>第九條</w:t>
        </w:r>
      </w:hyperlink>
      <w:r w:rsidR="007F4860" w:rsidRPr="000326BA">
        <w:rPr>
          <w:rFonts w:ascii="微軟正黑體" w:eastAsia="微軟正黑體" w:hAnsi="微軟正黑體"/>
        </w:rPr>
        <w:t>第一款第五項至第九項、</w:t>
      </w:r>
      <w:hyperlink w:anchor="a10" w:history="1">
        <w:r w:rsidR="007F4860" w:rsidRPr="000326BA">
          <w:rPr>
            <w:rStyle w:val="a3"/>
            <w:rFonts w:ascii="微軟正黑體" w:eastAsia="微軟正黑體" w:hAnsi="微軟正黑體"/>
          </w:rPr>
          <w:t>第十條</w:t>
        </w:r>
      </w:hyperlink>
      <w:r w:rsidR="007F4860" w:rsidRPr="000326BA">
        <w:rPr>
          <w:rFonts w:ascii="微軟正黑體" w:eastAsia="微軟正黑體" w:hAnsi="微軟正黑體"/>
        </w:rPr>
        <w:t>規定的船舶，應當提供海事部門、漁業船舶管理部門等部門、機構出具的具有法律效力的證明文件或者使用關係證明文件，申明免稅或者延長噸稅執照期限的依據和理由。</w:t>
      </w:r>
    </w:p>
    <w:p w14:paraId="7CA8D99D" w14:textId="54BBF001" w:rsidR="000326BA" w:rsidRPr="000326BA" w:rsidRDefault="000326BA" w:rsidP="004774F6">
      <w:pPr>
        <w:pStyle w:val="3"/>
        <w:rPr>
          <w:rFonts w:ascii="微軟正黑體" w:eastAsia="微軟正黑體" w:hAnsi="微軟正黑體" w:hint="eastAsia"/>
        </w:rPr>
      </w:pPr>
      <w:r w:rsidRPr="000326BA">
        <w:rPr>
          <w:rFonts w:ascii="微軟正黑體" w:eastAsia="微軟正黑體" w:hAnsi="微軟正黑體" w:hint="eastAsia"/>
        </w:rPr>
        <w:t>--</w:t>
      </w:r>
      <w:r w:rsidRPr="000326BA">
        <w:rPr>
          <w:rFonts w:ascii="微軟正黑體" w:eastAsia="微軟正黑體" w:hAnsi="微軟正黑體"/>
        </w:rPr>
        <w:t>20</w:t>
      </w:r>
      <w:r w:rsidRPr="000326BA">
        <w:rPr>
          <w:rFonts w:ascii="微軟正黑體" w:eastAsia="微軟正黑體" w:hAnsi="微軟正黑體" w:hint="eastAsia"/>
        </w:rPr>
        <w:t>18年10月26日修正前條文--</w:t>
      </w:r>
      <w:hyperlink r:id="rId16" w:history="1">
        <w:r w:rsidRPr="000326BA">
          <w:rPr>
            <w:rStyle w:val="a3"/>
            <w:rFonts w:ascii="微軟正黑體" w:eastAsia="微軟正黑體" w:hAnsi="微軟正黑體"/>
          </w:rPr>
          <w:t>比對程式</w:t>
        </w:r>
      </w:hyperlink>
    </w:p>
    <w:p w14:paraId="2CB79B23" w14:textId="4A205938" w:rsidR="007F4860" w:rsidRPr="000326BA" w:rsidRDefault="000326BA" w:rsidP="007F4860">
      <w:pPr>
        <w:ind w:left="142"/>
        <w:rPr>
          <w:rFonts w:ascii="微軟正黑體" w:eastAsia="微軟正黑體" w:hAnsi="微軟正黑體"/>
          <w:color w:val="5F5F5F"/>
        </w:rPr>
      </w:pPr>
      <w:r w:rsidRPr="000326BA">
        <w:rPr>
          <w:rFonts w:ascii="微軟正黑體" w:eastAsia="微軟正黑體" w:hAnsi="微軟正黑體" w:hint="eastAsia"/>
          <w:color w:val="404040" w:themeColor="text1" w:themeTint="BF"/>
          <w:sz w:val="18"/>
        </w:rPr>
        <w:t>﹝1﹞</w:t>
      </w:r>
      <w:r w:rsidR="007F4860" w:rsidRPr="000326BA">
        <w:rPr>
          <w:rFonts w:ascii="微軟正黑體" w:eastAsia="微軟正黑體" w:hAnsi="微軟正黑體"/>
          <w:color w:val="5F5F5F"/>
        </w:rPr>
        <w:t>符合本法</w:t>
      </w:r>
      <w:hyperlink w:anchor="a9" w:history="1">
        <w:r w:rsidR="007F4860" w:rsidRPr="000326BA">
          <w:rPr>
            <w:rStyle w:val="a3"/>
            <w:rFonts w:ascii="微軟正黑體" w:eastAsia="微軟正黑體" w:hAnsi="微軟正黑體"/>
            <w:color w:val="5F5F5F"/>
          </w:rPr>
          <w:t>第九條</w:t>
        </w:r>
      </w:hyperlink>
      <w:r w:rsidR="007F4860" w:rsidRPr="000326BA">
        <w:rPr>
          <w:rFonts w:ascii="微軟正黑體" w:eastAsia="微軟正黑體" w:hAnsi="微軟正黑體"/>
          <w:color w:val="5F5F5F"/>
        </w:rPr>
        <w:t>第一款第五項至第九項、</w:t>
      </w:r>
      <w:hyperlink w:anchor="a10" w:history="1">
        <w:r w:rsidR="007F4860" w:rsidRPr="000326BA">
          <w:rPr>
            <w:rStyle w:val="a3"/>
            <w:rFonts w:ascii="微軟正黑體" w:eastAsia="微軟正黑體" w:hAnsi="微軟正黑體"/>
            <w:color w:val="5F5F5F"/>
          </w:rPr>
          <w:t>第十條</w:t>
        </w:r>
      </w:hyperlink>
      <w:r w:rsidR="007F4860" w:rsidRPr="000326BA">
        <w:rPr>
          <w:rFonts w:ascii="微軟正黑體" w:eastAsia="微軟正黑體" w:hAnsi="微軟正黑體"/>
          <w:color w:val="5F5F5F"/>
        </w:rPr>
        <w:t>規定的船舶，應當提供海事部門、漁業船舶管理部門或者出入境檢驗檢疫部門等部門、機構出具的具有法律效力的證明文件或者使用關係證明文件，申明免稅或者延長噸稅執照期限的依據和理由。</w:t>
      </w:r>
      <w:r w:rsidR="00910BA1" w:rsidRPr="000326BA">
        <w:rPr>
          <w:rFonts w:ascii="微軟正黑體" w:eastAsia="微軟正黑體" w:hAnsi="微軟正黑體" w:hint="eastAsia"/>
          <w:color w:val="FFFFFF" w:themeColor="background1"/>
        </w:rPr>
        <w:t>∴</w:t>
      </w:r>
    </w:p>
    <w:p w14:paraId="2666EECC" w14:textId="77777777" w:rsidR="000326BA" w:rsidRPr="000326BA" w:rsidRDefault="00E946F7" w:rsidP="00AB421A">
      <w:pPr>
        <w:pStyle w:val="2"/>
        <w:rPr>
          <w:rFonts w:ascii="微軟正黑體" w:eastAsia="微軟正黑體" w:hAnsi="微軟正黑體"/>
        </w:rPr>
      </w:pPr>
      <w:r w:rsidRPr="000326BA">
        <w:rPr>
          <w:rFonts w:ascii="微軟正黑體" w:eastAsia="微軟正黑體" w:hAnsi="微軟正黑體"/>
        </w:rPr>
        <w:t>第12</w:t>
      </w:r>
      <w:r w:rsidR="000326BA" w:rsidRPr="000326BA">
        <w:rPr>
          <w:rFonts w:ascii="微軟正黑體" w:eastAsia="微軟正黑體" w:hAnsi="微軟正黑體"/>
        </w:rPr>
        <w:t>條</w:t>
      </w:r>
    </w:p>
    <w:p w14:paraId="6B2ACECE" w14:textId="15F1DA0D" w:rsidR="00E946F7"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應稅船舶負責人應當自海關填發噸稅繳款憑證之日起十五日內繳清稅款。未按期繳清稅款的，自滯納稅款之日起至繳清稅款之日止，按日加收滯納稅款萬分之五的稅款滯納金</w:t>
      </w:r>
      <w:r w:rsidR="00AB421A" w:rsidRPr="000326BA">
        <w:rPr>
          <w:rFonts w:ascii="微軟正黑體" w:eastAsia="微軟正黑體" w:hAnsi="微軟正黑體"/>
        </w:rPr>
        <w:t>。</w:t>
      </w:r>
    </w:p>
    <w:p w14:paraId="128B0B2B" w14:textId="77777777" w:rsidR="000326BA" w:rsidRPr="000326BA" w:rsidRDefault="00E946F7" w:rsidP="00AB421A">
      <w:pPr>
        <w:pStyle w:val="2"/>
        <w:rPr>
          <w:rFonts w:ascii="微軟正黑體" w:eastAsia="微軟正黑體" w:hAnsi="微軟正黑體"/>
        </w:rPr>
      </w:pPr>
      <w:bookmarkStart w:id="14" w:name="a13"/>
      <w:bookmarkEnd w:id="14"/>
      <w:r w:rsidRPr="000326BA">
        <w:rPr>
          <w:rFonts w:ascii="微軟正黑體" w:eastAsia="微軟正黑體" w:hAnsi="微軟正黑體"/>
        </w:rPr>
        <w:t>第13</w:t>
      </w:r>
      <w:r w:rsidR="000326BA" w:rsidRPr="000326BA">
        <w:rPr>
          <w:rFonts w:ascii="微軟正黑體" w:eastAsia="微軟正黑體" w:hAnsi="微軟正黑體"/>
        </w:rPr>
        <w:t>條</w:t>
      </w:r>
    </w:p>
    <w:p w14:paraId="0CB9EE55" w14:textId="0A7C52BB" w:rsidR="000326B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應稅船舶到達港口前，經海關核准先行申報並辦結出入境手續的，應稅船舶負責人應當向海關提供與其依法履行噸稅繳納義務相適應的擔保；應稅船舶到達港口後，依照本法規定向海關申報納稅</w:t>
      </w:r>
      <w:r w:rsidRPr="000326BA">
        <w:rPr>
          <w:rFonts w:ascii="微軟正黑體" w:eastAsia="微軟正黑體" w:hAnsi="微軟正黑體"/>
        </w:rPr>
        <w:t>。</w:t>
      </w:r>
    </w:p>
    <w:p w14:paraId="3BD5333A" w14:textId="3514355F" w:rsidR="00AB421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﹝2﹞</w:t>
      </w:r>
      <w:r w:rsidR="00E946F7" w:rsidRPr="000326BA">
        <w:rPr>
          <w:rFonts w:ascii="微軟正黑體" w:eastAsia="微軟正黑體" w:hAnsi="微軟正黑體"/>
        </w:rPr>
        <w:t>下列財產、權利可以用於擔保</w:t>
      </w:r>
      <w:r w:rsidR="00AB421A" w:rsidRPr="000326BA">
        <w:rPr>
          <w:rFonts w:ascii="微軟正黑體" w:eastAsia="微軟正黑體" w:hAnsi="微軟正黑體"/>
        </w:rPr>
        <w:t>：</w:t>
      </w:r>
    </w:p>
    <w:p w14:paraId="7D1B1F3E" w14:textId="77777777" w:rsidR="00AB421A" w:rsidRPr="000326BA" w:rsidRDefault="00E946F7" w:rsidP="00AB421A">
      <w:pPr>
        <w:ind w:left="142"/>
        <w:rPr>
          <w:rFonts w:ascii="微軟正黑體" w:eastAsia="微軟正黑體" w:hAnsi="微軟正黑體"/>
        </w:rPr>
      </w:pPr>
      <w:r w:rsidRPr="000326BA">
        <w:rPr>
          <w:rFonts w:ascii="微軟正黑體" w:eastAsia="微軟正黑體" w:hAnsi="微軟正黑體"/>
        </w:rPr>
        <w:t xml:space="preserve">　　（一）人民幣、可自由兌換貨幣；</w:t>
      </w:r>
    </w:p>
    <w:p w14:paraId="148A924D" w14:textId="77777777" w:rsidR="00AB421A" w:rsidRPr="000326BA" w:rsidRDefault="00E946F7" w:rsidP="00AB421A">
      <w:pPr>
        <w:ind w:left="142"/>
        <w:rPr>
          <w:rFonts w:ascii="微軟正黑體" w:eastAsia="微軟正黑體" w:hAnsi="微軟正黑體"/>
        </w:rPr>
      </w:pPr>
      <w:r w:rsidRPr="000326BA">
        <w:rPr>
          <w:rFonts w:ascii="微軟正黑體" w:eastAsia="微軟正黑體" w:hAnsi="微軟正黑體"/>
        </w:rPr>
        <w:t xml:space="preserve">　　（二）匯票、本票、支票、債券、存單；</w:t>
      </w:r>
    </w:p>
    <w:p w14:paraId="231B425B" w14:textId="77777777" w:rsidR="00AB421A" w:rsidRPr="000326BA" w:rsidRDefault="00E946F7" w:rsidP="00AB421A">
      <w:pPr>
        <w:ind w:left="142"/>
        <w:rPr>
          <w:rFonts w:ascii="微軟正黑體" w:eastAsia="微軟正黑體" w:hAnsi="微軟正黑體"/>
        </w:rPr>
      </w:pPr>
      <w:r w:rsidRPr="000326BA">
        <w:rPr>
          <w:rFonts w:ascii="微軟正黑體" w:eastAsia="微軟正黑體" w:hAnsi="微軟正黑體"/>
        </w:rPr>
        <w:t xml:space="preserve">　　（三）銀行、非銀行金融機構的保函；</w:t>
      </w:r>
    </w:p>
    <w:p w14:paraId="67CD613E" w14:textId="77777777" w:rsidR="00E946F7" w:rsidRPr="000326BA" w:rsidRDefault="00E946F7" w:rsidP="00AB421A">
      <w:pPr>
        <w:ind w:left="142"/>
        <w:rPr>
          <w:rFonts w:ascii="微軟正黑體" w:eastAsia="微軟正黑體" w:hAnsi="微軟正黑體"/>
        </w:rPr>
      </w:pPr>
      <w:r w:rsidRPr="000326BA">
        <w:rPr>
          <w:rFonts w:ascii="微軟正黑體" w:eastAsia="微軟正黑體" w:hAnsi="微軟正黑體"/>
        </w:rPr>
        <w:t xml:space="preserve">　　（四）海關依法認可的其他財產、權利</w:t>
      </w:r>
      <w:r w:rsidR="00AB421A" w:rsidRPr="000326BA">
        <w:rPr>
          <w:rFonts w:ascii="微軟正黑體" w:eastAsia="微軟正黑體" w:hAnsi="微軟正黑體"/>
        </w:rPr>
        <w:t>。</w:t>
      </w:r>
    </w:p>
    <w:p w14:paraId="305C0369" w14:textId="77777777" w:rsidR="000326BA" w:rsidRPr="000326BA" w:rsidRDefault="00E946F7" w:rsidP="00AB421A">
      <w:pPr>
        <w:pStyle w:val="2"/>
        <w:rPr>
          <w:rFonts w:ascii="微軟正黑體" w:eastAsia="微軟正黑體" w:hAnsi="微軟正黑體"/>
        </w:rPr>
      </w:pPr>
      <w:bookmarkStart w:id="15" w:name="a14"/>
      <w:bookmarkEnd w:id="15"/>
      <w:r w:rsidRPr="000326BA">
        <w:rPr>
          <w:rFonts w:ascii="微軟正黑體" w:eastAsia="微軟正黑體" w:hAnsi="微軟正黑體"/>
        </w:rPr>
        <w:t>第14</w:t>
      </w:r>
      <w:r w:rsidR="000326BA" w:rsidRPr="000326BA">
        <w:rPr>
          <w:rFonts w:ascii="微軟正黑體" w:eastAsia="微軟正黑體" w:hAnsi="微軟正黑體"/>
        </w:rPr>
        <w:t>條</w:t>
      </w:r>
    </w:p>
    <w:p w14:paraId="3D0B2B0F" w14:textId="1AB2BAB3" w:rsidR="00E946F7"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應稅船舶在噸稅執照期限內，因修理、改造導致淨噸位變化的，噸稅執照繼續有效。應稅船舶辦理出入境手續時，應當提供船舶經過修理、改造的證明文件</w:t>
      </w:r>
      <w:r w:rsidR="00AB421A" w:rsidRPr="000326BA">
        <w:rPr>
          <w:rFonts w:ascii="微軟正黑體" w:eastAsia="微軟正黑體" w:hAnsi="微軟正黑體"/>
        </w:rPr>
        <w:t>。</w:t>
      </w:r>
    </w:p>
    <w:p w14:paraId="47439F34" w14:textId="77777777" w:rsidR="000326BA" w:rsidRPr="000326BA" w:rsidRDefault="00E946F7" w:rsidP="00AB421A">
      <w:pPr>
        <w:pStyle w:val="2"/>
        <w:rPr>
          <w:rFonts w:ascii="微軟正黑體" w:eastAsia="微軟正黑體" w:hAnsi="微軟正黑體"/>
        </w:rPr>
      </w:pPr>
      <w:bookmarkStart w:id="16" w:name="a15"/>
      <w:bookmarkEnd w:id="16"/>
      <w:r w:rsidRPr="000326BA">
        <w:rPr>
          <w:rFonts w:ascii="微軟正黑體" w:eastAsia="微軟正黑體" w:hAnsi="微軟正黑體"/>
        </w:rPr>
        <w:t>第15</w:t>
      </w:r>
      <w:r w:rsidR="000326BA" w:rsidRPr="000326BA">
        <w:rPr>
          <w:rFonts w:ascii="微軟正黑體" w:eastAsia="微軟正黑體" w:hAnsi="微軟正黑體"/>
        </w:rPr>
        <w:t>條</w:t>
      </w:r>
    </w:p>
    <w:p w14:paraId="7F8D4B50" w14:textId="08394531" w:rsidR="000326B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應稅船舶在噸稅執照期限內，因稅目稅率調整或者船籍改變而導致適用稅率變化的，噸稅執照繼續有效</w:t>
      </w:r>
      <w:r w:rsidRPr="000326BA">
        <w:rPr>
          <w:rFonts w:ascii="微軟正黑體" w:eastAsia="微軟正黑體" w:hAnsi="微軟正黑體"/>
        </w:rPr>
        <w:t>。</w:t>
      </w:r>
    </w:p>
    <w:p w14:paraId="54C6681F" w14:textId="2287E5DD" w:rsidR="00E946F7" w:rsidRPr="000326BA" w:rsidRDefault="000326BA"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﹝2﹞</w:t>
      </w:r>
      <w:r w:rsidR="00E946F7" w:rsidRPr="000326BA">
        <w:rPr>
          <w:rFonts w:ascii="微軟正黑體" w:eastAsia="微軟正黑體" w:hAnsi="微軟正黑體"/>
          <w:color w:val="17365D"/>
        </w:rPr>
        <w:t>因船籍改變而導致適用稅率變化的，應稅船舶在辦理出入境手續時，應當提供船籍改變的證明文件</w:t>
      </w:r>
      <w:r w:rsidR="00AB421A" w:rsidRPr="000326BA">
        <w:rPr>
          <w:rFonts w:ascii="微軟正黑體" w:eastAsia="微軟正黑體" w:hAnsi="微軟正黑體"/>
          <w:color w:val="17365D"/>
        </w:rPr>
        <w:t>。</w:t>
      </w:r>
    </w:p>
    <w:p w14:paraId="3AE71711" w14:textId="77777777" w:rsidR="000326BA" w:rsidRPr="000326BA" w:rsidRDefault="00E946F7" w:rsidP="00AB421A">
      <w:pPr>
        <w:pStyle w:val="2"/>
        <w:rPr>
          <w:rFonts w:ascii="微軟正黑體" w:eastAsia="微軟正黑體" w:hAnsi="微軟正黑體"/>
        </w:rPr>
      </w:pPr>
      <w:bookmarkStart w:id="17" w:name="a16"/>
      <w:bookmarkEnd w:id="17"/>
      <w:r w:rsidRPr="000326BA">
        <w:rPr>
          <w:rFonts w:ascii="微軟正黑體" w:eastAsia="微軟正黑體" w:hAnsi="微軟正黑體"/>
        </w:rPr>
        <w:t>第16</w:t>
      </w:r>
      <w:r w:rsidR="000326BA" w:rsidRPr="000326BA">
        <w:rPr>
          <w:rFonts w:ascii="微軟正黑體" w:eastAsia="微軟正黑體" w:hAnsi="微軟正黑體"/>
        </w:rPr>
        <w:t>條</w:t>
      </w:r>
    </w:p>
    <w:p w14:paraId="2E596526" w14:textId="17479A18" w:rsidR="00E946F7"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噸稅執照在期滿前毀損或者遺失的，應當向原發照海關書面申請核發噸稅執照副本，不再補稅</w:t>
      </w:r>
      <w:r w:rsidR="00AB421A" w:rsidRPr="000326BA">
        <w:rPr>
          <w:rFonts w:ascii="微軟正黑體" w:eastAsia="微軟正黑體" w:hAnsi="微軟正黑體"/>
        </w:rPr>
        <w:t>。</w:t>
      </w:r>
    </w:p>
    <w:p w14:paraId="71617B0B" w14:textId="77777777" w:rsidR="000326BA" w:rsidRPr="000326BA" w:rsidRDefault="00E946F7" w:rsidP="00AB421A">
      <w:pPr>
        <w:pStyle w:val="2"/>
        <w:rPr>
          <w:rFonts w:ascii="微軟正黑體" w:eastAsia="微軟正黑體" w:hAnsi="微軟正黑體"/>
        </w:rPr>
      </w:pPr>
      <w:bookmarkStart w:id="18" w:name="a17"/>
      <w:bookmarkEnd w:id="18"/>
      <w:r w:rsidRPr="000326BA">
        <w:rPr>
          <w:rFonts w:ascii="微軟正黑體" w:eastAsia="微軟正黑體" w:hAnsi="微軟正黑體"/>
        </w:rPr>
        <w:t>第17</w:t>
      </w:r>
      <w:r w:rsidR="000326BA" w:rsidRPr="000326BA">
        <w:rPr>
          <w:rFonts w:ascii="微軟正黑體" w:eastAsia="微軟正黑體" w:hAnsi="微軟正黑體"/>
        </w:rPr>
        <w:t>條</w:t>
      </w:r>
    </w:p>
    <w:p w14:paraId="51EABF00" w14:textId="698763EA" w:rsidR="000326B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海關發現少徵或者漏徵稅款的，應當自應稅船舶應當繳納稅款之日起一年內，補徵稅款。但因應稅船舶違反規定造成少徵或者漏徵稅款的，海關可以自應當繳納稅款之日起三年內追徵稅款，並自應當繳納稅款之日起按日加徵少徵或者漏徵稅款萬分之五的稅款滯納金</w:t>
      </w:r>
      <w:r w:rsidRPr="000326BA">
        <w:rPr>
          <w:rFonts w:ascii="微軟正黑體" w:eastAsia="微軟正黑體" w:hAnsi="微軟正黑體"/>
        </w:rPr>
        <w:t>。</w:t>
      </w:r>
    </w:p>
    <w:p w14:paraId="0E5BF626" w14:textId="47B770D8" w:rsidR="000326B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﹝2﹞</w:t>
      </w:r>
      <w:r w:rsidRPr="000326BA">
        <w:rPr>
          <w:rFonts w:ascii="微軟正黑體" w:eastAsia="微軟正黑體" w:hAnsi="微軟正黑體"/>
          <w:color w:val="17365D"/>
        </w:rPr>
        <w:t>海關發現多徵稅款的，應當在二十四小時內通知應稅船舶辦理退還手續，並加算銀行同期活期存款利息</w:t>
      </w:r>
      <w:r w:rsidRPr="000326BA">
        <w:rPr>
          <w:rFonts w:ascii="微軟正黑體" w:eastAsia="微軟正黑體" w:hAnsi="微軟正黑體"/>
        </w:rPr>
        <w:t>。</w:t>
      </w:r>
    </w:p>
    <w:p w14:paraId="52BC1B75" w14:textId="7EB2232D" w:rsidR="000326B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﹝3﹞</w:t>
      </w:r>
      <w:r w:rsidRPr="000326BA">
        <w:rPr>
          <w:rFonts w:ascii="微軟正黑體" w:eastAsia="微軟正黑體" w:hAnsi="微軟正黑體"/>
        </w:rPr>
        <w:t>應稅船舶發現多繳稅款的，可以自繳納稅款之日起三年內以書面形式要求海關退還多繳的稅款並加算銀行同期活期存款利息；海關應當自受理退稅申請之日起三十日內查實並通知應稅船舶辦理退還手續。</w:t>
      </w:r>
    </w:p>
    <w:p w14:paraId="28D91C41" w14:textId="7A6471E6" w:rsidR="00E946F7" w:rsidRPr="000326BA" w:rsidRDefault="000326BA"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﹝4﹞</w:t>
      </w:r>
      <w:r w:rsidR="00E946F7" w:rsidRPr="000326BA">
        <w:rPr>
          <w:rFonts w:ascii="微軟正黑體" w:eastAsia="微軟正黑體" w:hAnsi="微軟正黑體"/>
          <w:color w:val="17365D"/>
        </w:rPr>
        <w:t>應稅船舶應當自收到本條第二款、第三款規定的通知之日起三個月內辦理有關退還手續</w:t>
      </w:r>
      <w:r w:rsidR="00AB421A" w:rsidRPr="000326BA">
        <w:rPr>
          <w:rFonts w:ascii="微軟正黑體" w:eastAsia="微軟正黑體" w:hAnsi="微軟正黑體"/>
          <w:color w:val="17365D"/>
        </w:rPr>
        <w:t>。</w:t>
      </w:r>
    </w:p>
    <w:p w14:paraId="3469FF22" w14:textId="77777777" w:rsidR="000326BA" w:rsidRPr="000326BA" w:rsidRDefault="00E946F7" w:rsidP="00AB421A">
      <w:pPr>
        <w:pStyle w:val="2"/>
        <w:rPr>
          <w:rFonts w:ascii="微軟正黑體" w:eastAsia="微軟正黑體" w:hAnsi="微軟正黑體"/>
        </w:rPr>
      </w:pPr>
      <w:bookmarkStart w:id="19" w:name="a18"/>
      <w:bookmarkEnd w:id="19"/>
      <w:r w:rsidRPr="000326BA">
        <w:rPr>
          <w:rFonts w:ascii="微軟正黑體" w:eastAsia="微軟正黑體" w:hAnsi="微軟正黑體"/>
        </w:rPr>
        <w:t>第18</w:t>
      </w:r>
      <w:r w:rsidR="000326BA" w:rsidRPr="000326BA">
        <w:rPr>
          <w:rFonts w:ascii="微軟正黑體" w:eastAsia="微軟正黑體" w:hAnsi="微軟正黑體"/>
        </w:rPr>
        <w:t>條</w:t>
      </w:r>
    </w:p>
    <w:p w14:paraId="0C89CEB2" w14:textId="13341CA4" w:rsidR="00AB421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應稅船舶有下列行為之一的，由海關責令限期改正，處二千元以上三萬元以下的罰款；不繳或者少繳應納稅款的，處不繳或者少繳稅款百分之五十以上五倍以下的罰款，但罰款不得低於二千元</w:t>
      </w:r>
      <w:r w:rsidR="00AB421A" w:rsidRPr="000326BA">
        <w:rPr>
          <w:rFonts w:ascii="微軟正黑體" w:eastAsia="微軟正黑體" w:hAnsi="微軟正黑體"/>
        </w:rPr>
        <w:t>：</w:t>
      </w:r>
    </w:p>
    <w:p w14:paraId="1DCB3E3C" w14:textId="77777777" w:rsidR="00AB421A" w:rsidRPr="000326BA" w:rsidRDefault="00E946F7" w:rsidP="00AB421A">
      <w:pPr>
        <w:ind w:left="142"/>
        <w:rPr>
          <w:rFonts w:ascii="微軟正黑體" w:eastAsia="微軟正黑體" w:hAnsi="微軟正黑體"/>
        </w:rPr>
      </w:pPr>
      <w:r w:rsidRPr="000326BA">
        <w:rPr>
          <w:rFonts w:ascii="微軟正黑體" w:eastAsia="微軟正黑體" w:hAnsi="微軟正黑體"/>
        </w:rPr>
        <w:t xml:space="preserve">　　（一）未按照規定申報納稅、領取噸稅執照；</w:t>
      </w:r>
    </w:p>
    <w:p w14:paraId="191F46C9" w14:textId="77777777" w:rsidR="00E946F7" w:rsidRPr="000326BA" w:rsidRDefault="00E946F7" w:rsidP="00AB421A">
      <w:pPr>
        <w:ind w:left="142"/>
        <w:rPr>
          <w:rFonts w:ascii="微軟正黑體" w:eastAsia="微軟正黑體" w:hAnsi="微軟正黑體"/>
        </w:rPr>
      </w:pPr>
      <w:r w:rsidRPr="000326BA">
        <w:rPr>
          <w:rFonts w:ascii="微軟正黑體" w:eastAsia="微軟正黑體" w:hAnsi="微軟正黑體"/>
        </w:rPr>
        <w:t xml:space="preserve">　　（二）未按照規定交驗噸稅執照（或者申請核驗噸稅執照電子資訊）以及提供其他證明文件</w:t>
      </w:r>
      <w:r w:rsidR="00AB421A" w:rsidRPr="000326BA">
        <w:rPr>
          <w:rFonts w:ascii="微軟正黑體" w:eastAsia="微軟正黑體" w:hAnsi="微軟正黑體"/>
        </w:rPr>
        <w:t>。</w:t>
      </w:r>
    </w:p>
    <w:p w14:paraId="51B658BE" w14:textId="77777777" w:rsidR="000326BA" w:rsidRPr="000326BA" w:rsidRDefault="00E946F7" w:rsidP="00AB421A">
      <w:pPr>
        <w:pStyle w:val="2"/>
        <w:rPr>
          <w:rFonts w:ascii="微軟正黑體" w:eastAsia="微軟正黑體" w:hAnsi="微軟正黑體"/>
        </w:rPr>
      </w:pPr>
      <w:bookmarkStart w:id="20" w:name="a19"/>
      <w:bookmarkEnd w:id="20"/>
      <w:r w:rsidRPr="000326BA">
        <w:rPr>
          <w:rFonts w:ascii="微軟正黑體" w:eastAsia="微軟正黑體" w:hAnsi="微軟正黑體"/>
        </w:rPr>
        <w:t>第19</w:t>
      </w:r>
      <w:r w:rsidR="000326BA" w:rsidRPr="000326BA">
        <w:rPr>
          <w:rFonts w:ascii="微軟正黑體" w:eastAsia="微軟正黑體" w:hAnsi="微軟正黑體"/>
        </w:rPr>
        <w:t>條</w:t>
      </w:r>
    </w:p>
    <w:p w14:paraId="614F4033" w14:textId="73D30E10" w:rsidR="00E946F7"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噸稅稅款、稅款滯納金、罰款以人民幣計算</w:t>
      </w:r>
      <w:r w:rsidR="00AB421A" w:rsidRPr="000326BA">
        <w:rPr>
          <w:rFonts w:ascii="微軟正黑體" w:eastAsia="微軟正黑體" w:hAnsi="微軟正黑體"/>
        </w:rPr>
        <w:t>。</w:t>
      </w:r>
    </w:p>
    <w:p w14:paraId="5C312163" w14:textId="77777777" w:rsidR="000326BA" w:rsidRPr="000326BA" w:rsidRDefault="00E946F7" w:rsidP="00AB421A">
      <w:pPr>
        <w:pStyle w:val="2"/>
        <w:rPr>
          <w:rFonts w:ascii="微軟正黑體" w:eastAsia="微軟正黑體" w:hAnsi="微軟正黑體"/>
        </w:rPr>
      </w:pPr>
      <w:bookmarkStart w:id="21" w:name="a20"/>
      <w:bookmarkEnd w:id="21"/>
      <w:r w:rsidRPr="000326BA">
        <w:rPr>
          <w:rFonts w:ascii="微軟正黑體" w:eastAsia="微軟正黑體" w:hAnsi="微軟正黑體"/>
        </w:rPr>
        <w:t>第20</w:t>
      </w:r>
      <w:r w:rsidR="000326BA" w:rsidRPr="000326BA">
        <w:rPr>
          <w:rFonts w:ascii="微軟正黑體" w:eastAsia="微軟正黑體" w:hAnsi="微軟正黑體"/>
        </w:rPr>
        <w:t>條</w:t>
      </w:r>
    </w:p>
    <w:p w14:paraId="29DBBE3B" w14:textId="6909E2E9" w:rsidR="00E946F7"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噸稅的徵收，本法未作規定的，依照有關稅收徵收管理的法律、行政法規的規定執行</w:t>
      </w:r>
      <w:r w:rsidR="00AB421A" w:rsidRPr="000326BA">
        <w:rPr>
          <w:rFonts w:ascii="微軟正黑體" w:eastAsia="微軟正黑體" w:hAnsi="微軟正黑體"/>
        </w:rPr>
        <w:t>。</w:t>
      </w:r>
    </w:p>
    <w:p w14:paraId="1937D782" w14:textId="77777777" w:rsidR="000326BA" w:rsidRPr="000326BA" w:rsidRDefault="00E946F7" w:rsidP="00AB421A">
      <w:pPr>
        <w:pStyle w:val="2"/>
        <w:rPr>
          <w:rFonts w:ascii="微軟正黑體" w:eastAsia="微軟正黑體" w:hAnsi="微軟正黑體"/>
        </w:rPr>
      </w:pPr>
      <w:bookmarkStart w:id="22" w:name="a21"/>
      <w:bookmarkEnd w:id="22"/>
      <w:r w:rsidRPr="000326BA">
        <w:rPr>
          <w:rFonts w:ascii="微軟正黑體" w:eastAsia="微軟正黑體" w:hAnsi="微軟正黑體"/>
        </w:rPr>
        <w:t>第21</w:t>
      </w:r>
      <w:r w:rsidR="000326BA" w:rsidRPr="000326BA">
        <w:rPr>
          <w:rFonts w:ascii="微軟正黑體" w:eastAsia="微軟正黑體" w:hAnsi="微軟正黑體"/>
        </w:rPr>
        <w:t>條</w:t>
      </w:r>
    </w:p>
    <w:p w14:paraId="01EDAE0F" w14:textId="77EE6409" w:rsidR="00AB421A"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本法及所附《噸稅稅目稅率表》下列用語的含義</w:t>
      </w:r>
      <w:r w:rsidR="00AB421A" w:rsidRPr="000326BA">
        <w:rPr>
          <w:rFonts w:ascii="微軟正黑體" w:eastAsia="微軟正黑體" w:hAnsi="微軟正黑體"/>
        </w:rPr>
        <w:t>：</w:t>
      </w:r>
    </w:p>
    <w:p w14:paraId="3E471555" w14:textId="581707FD" w:rsidR="000326BA" w:rsidRPr="000326BA" w:rsidRDefault="00C257E5"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﹝2﹞</w:t>
      </w:r>
      <w:r w:rsidR="00E946F7" w:rsidRPr="000326BA">
        <w:rPr>
          <w:rFonts w:ascii="微軟正黑體" w:eastAsia="微軟正黑體" w:hAnsi="微軟正黑體"/>
          <w:color w:val="17365D"/>
        </w:rPr>
        <w:t>淨噸位，是指由船籍國（地區）政府簽發或者授權簽發的船舶噸位證明書上標明的淨噸位</w:t>
      </w:r>
      <w:r w:rsidR="000326BA" w:rsidRPr="000326BA">
        <w:rPr>
          <w:rFonts w:ascii="微軟正黑體" w:eastAsia="微軟正黑體" w:hAnsi="微軟正黑體"/>
          <w:color w:val="17365D"/>
        </w:rPr>
        <w:t>。</w:t>
      </w:r>
    </w:p>
    <w:p w14:paraId="42A4B631" w14:textId="46FD63FB" w:rsidR="000326BA" w:rsidRPr="000326BA" w:rsidRDefault="000326BA"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w:t>
      </w:r>
      <w:r w:rsidR="00C257E5">
        <w:rPr>
          <w:rFonts w:ascii="微軟正黑體" w:eastAsia="微軟正黑體" w:hAnsi="微軟正黑體" w:hint="eastAsia"/>
          <w:color w:val="404040" w:themeColor="text1" w:themeTint="BF"/>
          <w:sz w:val="18"/>
        </w:rPr>
        <w:t>3</w:t>
      </w:r>
      <w:r w:rsidRPr="000326BA">
        <w:rPr>
          <w:rFonts w:ascii="微軟正黑體" w:eastAsia="微軟正黑體" w:hAnsi="微軟正黑體"/>
          <w:color w:val="404040" w:themeColor="text1" w:themeTint="BF"/>
          <w:sz w:val="18"/>
        </w:rPr>
        <w:t>﹞</w:t>
      </w:r>
      <w:r w:rsidRPr="000326BA">
        <w:rPr>
          <w:rFonts w:ascii="微軟正黑體" w:eastAsia="微軟正黑體" w:hAnsi="微軟正黑體"/>
        </w:rPr>
        <w:t>非機動船舶，是指自身沒有動力裝置，依靠外力驅動的船舶</w:t>
      </w:r>
      <w:r w:rsidRPr="000326BA">
        <w:rPr>
          <w:rFonts w:ascii="微軟正黑體" w:eastAsia="微軟正黑體" w:hAnsi="微軟正黑體"/>
          <w:color w:val="17365D"/>
        </w:rPr>
        <w:t>。</w:t>
      </w:r>
    </w:p>
    <w:p w14:paraId="18B015D3" w14:textId="26AC2721" w:rsidR="000326BA" w:rsidRPr="000326BA" w:rsidRDefault="000326BA"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w:t>
      </w:r>
      <w:r w:rsidR="00C257E5">
        <w:rPr>
          <w:rFonts w:ascii="微軟正黑體" w:eastAsia="微軟正黑體" w:hAnsi="微軟正黑體" w:hint="eastAsia"/>
          <w:color w:val="404040" w:themeColor="text1" w:themeTint="BF"/>
          <w:sz w:val="18"/>
        </w:rPr>
        <w:t>4</w:t>
      </w:r>
      <w:r w:rsidRPr="000326BA">
        <w:rPr>
          <w:rFonts w:ascii="微軟正黑體" w:eastAsia="微軟正黑體" w:hAnsi="微軟正黑體"/>
          <w:color w:val="404040" w:themeColor="text1" w:themeTint="BF"/>
          <w:sz w:val="18"/>
        </w:rPr>
        <w:t>﹞</w:t>
      </w:r>
      <w:r w:rsidRPr="000326BA">
        <w:rPr>
          <w:rFonts w:ascii="微軟正黑體" w:eastAsia="微軟正黑體" w:hAnsi="微軟正黑體"/>
          <w:color w:val="17365D"/>
        </w:rPr>
        <w:t>非機動駁船，是指在船舶登記機關登記為駁船的非機動船舶。</w:t>
      </w:r>
    </w:p>
    <w:p w14:paraId="0C23BFC2" w14:textId="37F5CC21" w:rsidR="000326BA" w:rsidRPr="000326BA" w:rsidRDefault="00C257E5"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﹝5﹞</w:t>
      </w:r>
      <w:r w:rsidR="000326BA" w:rsidRPr="000326BA">
        <w:rPr>
          <w:rFonts w:ascii="微軟正黑體" w:eastAsia="微軟正黑體" w:hAnsi="微軟正黑體"/>
        </w:rPr>
        <w:t>捕撈</w:t>
      </w:r>
      <w:r w:rsidR="000326BA" w:rsidRPr="000326BA">
        <w:rPr>
          <w:rFonts w:ascii="微軟正黑體" w:eastAsia="微軟正黑體" w:hAnsi="微軟正黑體"/>
          <w:color w:val="17365D"/>
        </w:rPr>
        <w:t>、</w:t>
      </w:r>
      <w:r w:rsidR="000326BA" w:rsidRPr="000326BA">
        <w:rPr>
          <w:rFonts w:ascii="微軟正黑體" w:eastAsia="微軟正黑體" w:hAnsi="微軟正黑體"/>
        </w:rPr>
        <w:t>養殖漁船，是指在中華人民共和國漁業船舶管理部門登記為捕撈船或者養殖船的船舶</w:t>
      </w:r>
      <w:r w:rsidR="000326BA" w:rsidRPr="000326BA">
        <w:rPr>
          <w:rFonts w:ascii="微軟正黑體" w:eastAsia="微軟正黑體" w:hAnsi="微軟正黑體"/>
          <w:color w:val="17365D"/>
        </w:rPr>
        <w:t>。</w:t>
      </w:r>
    </w:p>
    <w:p w14:paraId="551C1561" w14:textId="2FE8983D" w:rsidR="000326BA" w:rsidRPr="000326BA" w:rsidRDefault="000326BA" w:rsidP="00AB421A">
      <w:pPr>
        <w:ind w:left="142"/>
        <w:rPr>
          <w:rFonts w:ascii="微軟正黑體" w:eastAsia="微軟正黑體" w:hAnsi="微軟正黑體"/>
          <w:color w:val="17365D"/>
        </w:rPr>
      </w:pPr>
      <w:r w:rsidRPr="000326BA">
        <w:rPr>
          <w:rFonts w:ascii="微軟正黑體" w:eastAsia="微軟正黑體" w:hAnsi="微軟正黑體"/>
          <w:color w:val="404040" w:themeColor="text1" w:themeTint="BF"/>
          <w:sz w:val="18"/>
        </w:rPr>
        <w:t>﹝</w:t>
      </w:r>
      <w:r w:rsidR="00C257E5">
        <w:rPr>
          <w:rFonts w:ascii="微軟正黑體" w:eastAsia="微軟正黑體" w:hAnsi="微軟正黑體" w:hint="eastAsia"/>
          <w:color w:val="404040" w:themeColor="text1" w:themeTint="BF"/>
          <w:sz w:val="18"/>
        </w:rPr>
        <w:t>6</w:t>
      </w:r>
      <w:r w:rsidRPr="000326BA">
        <w:rPr>
          <w:rFonts w:ascii="微軟正黑體" w:eastAsia="微軟正黑體" w:hAnsi="微軟正黑體"/>
          <w:color w:val="404040" w:themeColor="text1" w:themeTint="BF"/>
          <w:sz w:val="18"/>
        </w:rPr>
        <w:t>﹞</w:t>
      </w:r>
      <w:r w:rsidRPr="000326BA">
        <w:rPr>
          <w:rFonts w:ascii="微軟正黑體" w:eastAsia="微軟正黑體" w:hAnsi="微軟正黑體"/>
          <w:color w:val="17365D"/>
        </w:rPr>
        <w:t>拖船，是指專門用於拖（推）動運輸船舶的專業作業船舶。</w:t>
      </w:r>
    </w:p>
    <w:p w14:paraId="586D35C6" w14:textId="6F681FC7" w:rsidR="00E946F7" w:rsidRPr="000326BA" w:rsidRDefault="000326BA" w:rsidP="00AB421A">
      <w:pPr>
        <w:ind w:left="142"/>
        <w:rPr>
          <w:rFonts w:ascii="微軟正黑體" w:eastAsia="微軟正黑體" w:hAnsi="微軟正黑體"/>
        </w:rPr>
      </w:pPr>
      <w:r w:rsidRPr="000326BA">
        <w:rPr>
          <w:rFonts w:ascii="微軟正黑體" w:eastAsia="微軟正黑體" w:hAnsi="微軟正黑體"/>
          <w:color w:val="404040" w:themeColor="text1" w:themeTint="BF"/>
          <w:sz w:val="18"/>
        </w:rPr>
        <w:t>﹝</w:t>
      </w:r>
      <w:r w:rsidR="00C257E5">
        <w:rPr>
          <w:rFonts w:ascii="微軟正黑體" w:eastAsia="微軟正黑體" w:hAnsi="微軟正黑體" w:hint="eastAsia"/>
          <w:color w:val="404040" w:themeColor="text1" w:themeTint="BF"/>
          <w:sz w:val="18"/>
        </w:rPr>
        <w:t>7</w:t>
      </w:r>
      <w:r w:rsidRPr="000326BA">
        <w:rPr>
          <w:rFonts w:ascii="微軟正黑體" w:eastAsia="微軟正黑體" w:hAnsi="微軟正黑體"/>
          <w:color w:val="404040" w:themeColor="text1" w:themeTint="BF"/>
          <w:sz w:val="18"/>
        </w:rPr>
        <w:t>﹞</w:t>
      </w:r>
      <w:r w:rsidR="00E946F7" w:rsidRPr="000326BA">
        <w:rPr>
          <w:rFonts w:ascii="微軟正黑體" w:eastAsia="微軟正黑體" w:hAnsi="微軟正黑體"/>
        </w:rPr>
        <w:t>噸稅執照期限，是指按照公曆年、日計算的期間</w:t>
      </w:r>
      <w:r w:rsidR="00AB421A" w:rsidRPr="000326BA">
        <w:rPr>
          <w:rFonts w:ascii="微軟正黑體" w:eastAsia="微軟正黑體" w:hAnsi="微軟正黑體"/>
        </w:rPr>
        <w:t>。</w:t>
      </w:r>
    </w:p>
    <w:p w14:paraId="7DEB7C89" w14:textId="77777777" w:rsidR="000326BA" w:rsidRPr="000326BA" w:rsidRDefault="00E946F7" w:rsidP="00AB421A">
      <w:pPr>
        <w:pStyle w:val="2"/>
        <w:rPr>
          <w:rFonts w:ascii="微軟正黑體" w:eastAsia="微軟正黑體" w:hAnsi="微軟正黑體"/>
        </w:rPr>
      </w:pPr>
      <w:bookmarkStart w:id="23" w:name="a22"/>
      <w:bookmarkEnd w:id="23"/>
      <w:r w:rsidRPr="000326BA">
        <w:rPr>
          <w:rFonts w:ascii="微軟正黑體" w:eastAsia="微軟正黑體" w:hAnsi="微軟正黑體"/>
        </w:rPr>
        <w:t>第22</w:t>
      </w:r>
      <w:r w:rsidR="000326BA" w:rsidRPr="000326BA">
        <w:rPr>
          <w:rFonts w:ascii="微軟正黑體" w:eastAsia="微軟正黑體" w:hAnsi="微軟正黑體"/>
        </w:rPr>
        <w:t>條</w:t>
      </w:r>
    </w:p>
    <w:p w14:paraId="63E691F8" w14:textId="204524B0" w:rsidR="00AB421A" w:rsidRPr="000326BA" w:rsidRDefault="000326BA" w:rsidP="00AB421A">
      <w:pPr>
        <w:ind w:leftChars="75" w:left="150"/>
        <w:jc w:val="both"/>
        <w:rPr>
          <w:rFonts w:ascii="微軟正黑體" w:eastAsia="微軟正黑體" w:hAnsi="微軟正黑體"/>
        </w:rPr>
      </w:pPr>
      <w:r w:rsidRPr="000326BA">
        <w:rPr>
          <w:rFonts w:ascii="微軟正黑體" w:eastAsia="微軟正黑體" w:hAnsi="微軟正黑體"/>
          <w:color w:val="404040" w:themeColor="text1" w:themeTint="BF"/>
          <w:sz w:val="18"/>
        </w:rPr>
        <w:t>﹝1﹞</w:t>
      </w:r>
      <w:r w:rsidR="00E946F7" w:rsidRPr="000326BA">
        <w:rPr>
          <w:rFonts w:ascii="微軟正黑體" w:eastAsia="微軟正黑體" w:hAnsi="微軟正黑體"/>
        </w:rPr>
        <w:t>本法自2018年7月1日起施行。2011年12月5日國務院公布的《中華人民共和國船舶噸稅暫行條例》同時廢止</w:t>
      </w:r>
      <w:r w:rsidR="00AB421A" w:rsidRPr="000326BA">
        <w:rPr>
          <w:rFonts w:ascii="微軟正黑體" w:eastAsia="微軟正黑體" w:hAnsi="微軟正黑體"/>
        </w:rPr>
        <w:t>。</w:t>
      </w:r>
    </w:p>
    <w:p w14:paraId="1F7AB056" w14:textId="77777777" w:rsidR="001635EA" w:rsidRPr="000326BA" w:rsidRDefault="001635EA" w:rsidP="005D7873">
      <w:pPr>
        <w:ind w:leftChars="75" w:left="150"/>
        <w:jc w:val="both"/>
        <w:rPr>
          <w:rFonts w:ascii="微軟正黑體" w:eastAsia="微軟正黑體" w:hAnsi="微軟正黑體"/>
        </w:rPr>
      </w:pPr>
    </w:p>
    <w:p w14:paraId="40CB9388" w14:textId="77777777" w:rsidR="00677E6F" w:rsidRPr="000326BA" w:rsidRDefault="00677E6F" w:rsidP="005D7873">
      <w:pPr>
        <w:ind w:leftChars="75" w:left="150"/>
        <w:jc w:val="both"/>
        <w:rPr>
          <w:rFonts w:ascii="微軟正黑體" w:eastAsia="微軟正黑體" w:hAnsi="微軟正黑體"/>
        </w:rPr>
      </w:pPr>
    </w:p>
    <w:p w14:paraId="5CE79C66" w14:textId="77777777" w:rsidR="002B6E03" w:rsidRPr="000326BA" w:rsidRDefault="002B6E03" w:rsidP="002B6E03">
      <w:pPr>
        <w:ind w:leftChars="50" w:left="100"/>
        <w:jc w:val="both"/>
        <w:rPr>
          <w:rFonts w:ascii="微軟正黑體" w:eastAsia="微軟正黑體" w:hAnsi="微軟正黑體"/>
          <w:color w:val="808000"/>
          <w:szCs w:val="20"/>
        </w:rPr>
      </w:pPr>
      <w:r w:rsidRPr="000326BA">
        <w:rPr>
          <w:rFonts w:ascii="微軟正黑體" w:eastAsia="微軟正黑體" w:hAnsi="微軟正黑體" w:hint="eastAsia"/>
          <w:color w:val="5F5F5F"/>
          <w:sz w:val="18"/>
        </w:rPr>
        <w:t>。。。。。。。。。。。。。。。。。。。。。。。。。。。。。。。。。。。。。。。。。。。。。。。。。。</w:t>
      </w:r>
      <w:hyperlink w:anchor="top" w:history="1">
        <w:r w:rsidRPr="000326BA">
          <w:rPr>
            <w:rStyle w:val="a3"/>
            <w:rFonts w:ascii="微軟正黑體" w:eastAsia="微軟正黑體" w:hAnsi="微軟正黑體" w:hint="eastAsia"/>
            <w:sz w:val="18"/>
          </w:rPr>
          <w:t>回</w:t>
        </w:r>
        <w:r w:rsidRPr="000326BA">
          <w:rPr>
            <w:rStyle w:val="a3"/>
            <w:rFonts w:ascii="微軟正黑體" w:eastAsia="微軟正黑體" w:hAnsi="微軟正黑體" w:hint="eastAsia"/>
            <w:sz w:val="18"/>
          </w:rPr>
          <w:t>首</w:t>
        </w:r>
        <w:r w:rsidRPr="000326BA">
          <w:rPr>
            <w:rStyle w:val="a3"/>
            <w:rFonts w:ascii="微軟正黑體" w:eastAsia="微軟正黑體" w:hAnsi="微軟正黑體" w:hint="eastAsia"/>
            <w:sz w:val="18"/>
          </w:rPr>
          <w:t>頁</w:t>
        </w:r>
      </w:hyperlink>
      <w:r w:rsidRPr="000326BA">
        <w:rPr>
          <w:rStyle w:val="a3"/>
          <w:rFonts w:ascii="微軟正黑體" w:eastAsia="微軟正黑體" w:hAnsi="微軟正黑體" w:hint="eastAsia"/>
          <w:b/>
          <w:sz w:val="18"/>
          <w:u w:val="none"/>
        </w:rPr>
        <w:t>〉〉</w:t>
      </w:r>
    </w:p>
    <w:p w14:paraId="3C67E6A6" w14:textId="32136DDD" w:rsidR="002B6E03" w:rsidRPr="000326BA" w:rsidRDefault="002B6E03" w:rsidP="002B6E03">
      <w:pPr>
        <w:jc w:val="both"/>
        <w:rPr>
          <w:rFonts w:ascii="微軟正黑體" w:eastAsia="微軟正黑體" w:hAnsi="微軟正黑體"/>
        </w:rPr>
      </w:pPr>
      <w:r w:rsidRPr="000326BA">
        <w:rPr>
          <w:rFonts w:ascii="微軟正黑體" w:eastAsia="微軟正黑體" w:hAnsi="微軟正黑體" w:hint="eastAsia"/>
          <w:color w:val="5F5F5F"/>
          <w:sz w:val="18"/>
          <w:szCs w:val="18"/>
        </w:rPr>
        <w:t>【編註】本檔法規資料以</w:t>
      </w:r>
      <w:r w:rsidRPr="000326BA">
        <w:rPr>
          <w:rFonts w:ascii="微軟正黑體" w:eastAsia="微軟正黑體" w:hAnsi="微軟正黑體" w:hint="eastAsia"/>
          <w:color w:val="5F5F5F"/>
          <w:sz w:val="18"/>
          <w:szCs w:val="18"/>
          <w:lang w:eastAsia="zh-HK"/>
        </w:rPr>
        <w:t>官方</w:t>
      </w:r>
      <w:r w:rsidRPr="000326BA">
        <w:rPr>
          <w:rFonts w:ascii="微軟正黑體" w:eastAsia="微軟正黑體" w:hAnsi="微軟正黑體" w:hint="eastAsia"/>
          <w:color w:val="5F5F5F"/>
          <w:sz w:val="18"/>
          <w:szCs w:val="18"/>
        </w:rPr>
        <w:t>資訊網為依據；本文僅供參考，如需引用請以正式檔為準。如有發現待更正部份及您所需本站未收編之法規</w:t>
      </w:r>
      <w:r w:rsidRPr="000326BA">
        <w:rPr>
          <w:rFonts w:ascii="微軟正黑體" w:eastAsia="微軟正黑體" w:hAnsi="微軟正黑體" w:hint="eastAsia"/>
          <w:color w:val="5F5F5F"/>
          <w:sz w:val="18"/>
          <w:szCs w:val="20"/>
        </w:rPr>
        <w:t>，</w:t>
      </w:r>
      <w:r w:rsidRPr="000326BA">
        <w:rPr>
          <w:rFonts w:ascii="微軟正黑體" w:eastAsia="微軟正黑體" w:hAnsi="微軟正黑體"/>
          <w:color w:val="5F5F5F"/>
          <w:sz w:val="18"/>
          <w:szCs w:val="20"/>
        </w:rPr>
        <w:t>敬</w:t>
      </w:r>
      <w:r w:rsidRPr="000326BA">
        <w:rPr>
          <w:rFonts w:ascii="微軟正黑體" w:eastAsia="微軟正黑體" w:hAnsi="微軟正黑體" w:hint="eastAsia"/>
          <w:color w:val="5F5F5F"/>
          <w:sz w:val="18"/>
          <w:szCs w:val="20"/>
        </w:rPr>
        <w:t>請</w:t>
      </w:r>
      <w:hyperlink r:id="rId17" w:history="1">
        <w:r w:rsidRPr="000326BA">
          <w:rPr>
            <w:rStyle w:val="a3"/>
            <w:rFonts w:ascii="微軟正黑體" w:eastAsia="微軟正黑體" w:hAnsi="微軟正黑體"/>
            <w:sz w:val="18"/>
            <w:szCs w:val="20"/>
          </w:rPr>
          <w:t>告知</w:t>
        </w:r>
      </w:hyperlink>
      <w:r w:rsidRPr="000326BA">
        <w:rPr>
          <w:rFonts w:ascii="微軟正黑體" w:eastAsia="微軟正黑體" w:hAnsi="微軟正黑體" w:hint="eastAsia"/>
          <w:color w:val="5F5F5F"/>
          <w:sz w:val="18"/>
          <w:szCs w:val="20"/>
        </w:rPr>
        <w:t>，謝謝！</w:t>
      </w:r>
    </w:p>
    <w:p w14:paraId="79082FDD" w14:textId="77777777" w:rsidR="00201E46" w:rsidRPr="000326BA" w:rsidRDefault="00201E46">
      <w:pPr>
        <w:rPr>
          <w:rFonts w:ascii="微軟正黑體" w:eastAsia="微軟正黑體" w:hAnsi="微軟正黑體"/>
        </w:rPr>
      </w:pPr>
    </w:p>
    <w:sectPr w:rsidR="00201E46" w:rsidRPr="000326BA">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4B43F" w14:textId="77777777" w:rsidR="00AF77A1" w:rsidRDefault="00AF77A1">
      <w:r>
        <w:separator/>
      </w:r>
    </w:p>
  </w:endnote>
  <w:endnote w:type="continuationSeparator" w:id="0">
    <w:p w14:paraId="306586CD" w14:textId="77777777" w:rsidR="00AF77A1" w:rsidRDefault="00AF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83C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A58484"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12B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647C">
      <w:rPr>
        <w:rStyle w:val="a7"/>
        <w:noProof/>
      </w:rPr>
      <w:t>1</w:t>
    </w:r>
    <w:r>
      <w:rPr>
        <w:rStyle w:val="a7"/>
      </w:rPr>
      <w:fldChar w:fldCharType="end"/>
    </w:r>
  </w:p>
  <w:p w14:paraId="2788176E" w14:textId="77777777" w:rsidR="00626027" w:rsidRPr="00177DCB" w:rsidRDefault="00D918A6" w:rsidP="001635EA">
    <w:pPr>
      <w:pStyle w:val="a6"/>
      <w:ind w:right="360"/>
      <w:jc w:val="right"/>
      <w:rPr>
        <w:rFonts w:ascii="Arial Unicode MS" w:hAnsi="Arial Unicode MS"/>
      </w:rPr>
    </w:pPr>
    <w:r>
      <w:rPr>
        <w:rFonts w:ascii="Arial Unicode MS" w:hAnsi="Arial Unicode MS"/>
        <w:sz w:val="18"/>
        <w:szCs w:val="18"/>
      </w:rPr>
      <w:t>〈〈</w:t>
    </w:r>
    <w:r w:rsidR="001E647C" w:rsidRPr="001E647C">
      <w:rPr>
        <w:rFonts w:ascii="Arial Unicode MS" w:hAnsi="Arial Unicode MS" w:hint="eastAsia"/>
        <w:sz w:val="18"/>
        <w:szCs w:val="18"/>
      </w:rPr>
      <w:t>中華人民共和國船舶噸稅法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5848" w14:textId="77777777" w:rsidR="00AF77A1" w:rsidRDefault="00AF77A1">
      <w:r>
        <w:separator/>
      </w:r>
    </w:p>
  </w:footnote>
  <w:footnote w:type="continuationSeparator" w:id="0">
    <w:p w14:paraId="53047455" w14:textId="77777777" w:rsidR="00AF77A1" w:rsidRDefault="00AF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451827625">
    <w:abstractNumId w:val="3"/>
  </w:num>
  <w:num w:numId="2" w16cid:durableId="591427259">
    <w:abstractNumId w:val="0"/>
  </w:num>
  <w:num w:numId="3" w16cid:durableId="209461694">
    <w:abstractNumId w:val="2"/>
  </w:num>
  <w:num w:numId="4" w16cid:durableId="35358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326BA"/>
    <w:rsid w:val="0005486F"/>
    <w:rsid w:val="0009697B"/>
    <w:rsid w:val="000F1BEF"/>
    <w:rsid w:val="000F1F46"/>
    <w:rsid w:val="001635EA"/>
    <w:rsid w:val="00172209"/>
    <w:rsid w:val="00177DCB"/>
    <w:rsid w:val="001974AB"/>
    <w:rsid w:val="001E647C"/>
    <w:rsid w:val="00201E46"/>
    <w:rsid w:val="0023765D"/>
    <w:rsid w:val="00273668"/>
    <w:rsid w:val="00296040"/>
    <w:rsid w:val="002B6E03"/>
    <w:rsid w:val="0030009C"/>
    <w:rsid w:val="00334965"/>
    <w:rsid w:val="003365FD"/>
    <w:rsid w:val="00343275"/>
    <w:rsid w:val="00362C6F"/>
    <w:rsid w:val="00384F1D"/>
    <w:rsid w:val="003906B2"/>
    <w:rsid w:val="003D1419"/>
    <w:rsid w:val="003F13C2"/>
    <w:rsid w:val="003F1567"/>
    <w:rsid w:val="00434439"/>
    <w:rsid w:val="004528B7"/>
    <w:rsid w:val="00454643"/>
    <w:rsid w:val="00454A6B"/>
    <w:rsid w:val="004774F6"/>
    <w:rsid w:val="00514F72"/>
    <w:rsid w:val="00537188"/>
    <w:rsid w:val="0057446C"/>
    <w:rsid w:val="005B4CC0"/>
    <w:rsid w:val="005D7873"/>
    <w:rsid w:val="00626027"/>
    <w:rsid w:val="00677E6F"/>
    <w:rsid w:val="00793D0C"/>
    <w:rsid w:val="00797FAF"/>
    <w:rsid w:val="007B3157"/>
    <w:rsid w:val="007B7C45"/>
    <w:rsid w:val="007F4860"/>
    <w:rsid w:val="00806947"/>
    <w:rsid w:val="0083478A"/>
    <w:rsid w:val="0087702E"/>
    <w:rsid w:val="00880CBD"/>
    <w:rsid w:val="008829E0"/>
    <w:rsid w:val="008B7D3D"/>
    <w:rsid w:val="008D6226"/>
    <w:rsid w:val="008F7B9F"/>
    <w:rsid w:val="00910BA1"/>
    <w:rsid w:val="00911C69"/>
    <w:rsid w:val="009F6C66"/>
    <w:rsid w:val="00A101CC"/>
    <w:rsid w:val="00A201A4"/>
    <w:rsid w:val="00AB02D1"/>
    <w:rsid w:val="00AB421A"/>
    <w:rsid w:val="00AC493C"/>
    <w:rsid w:val="00AD7F37"/>
    <w:rsid w:val="00AF77A1"/>
    <w:rsid w:val="00B2293B"/>
    <w:rsid w:val="00B51CF4"/>
    <w:rsid w:val="00B90155"/>
    <w:rsid w:val="00BA702B"/>
    <w:rsid w:val="00BA7B85"/>
    <w:rsid w:val="00C2437D"/>
    <w:rsid w:val="00C257E5"/>
    <w:rsid w:val="00C96C88"/>
    <w:rsid w:val="00D17EC7"/>
    <w:rsid w:val="00D44AB2"/>
    <w:rsid w:val="00D54DAF"/>
    <w:rsid w:val="00D918A6"/>
    <w:rsid w:val="00DC51B7"/>
    <w:rsid w:val="00E9022C"/>
    <w:rsid w:val="00E946F7"/>
    <w:rsid w:val="00EE6475"/>
    <w:rsid w:val="00EF293B"/>
    <w:rsid w:val="00F86C8B"/>
    <w:rsid w:val="00F93722"/>
    <w:rsid w:val="00F96907"/>
    <w:rsid w:val="00FC0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84C0E6"/>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B421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B421A"/>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AB421A"/>
    <w:rPr>
      <w:rFonts w:asciiTheme="majorHAnsi" w:eastAsiaTheme="majorEastAsia" w:hAnsiTheme="majorHAnsi" w:cstheme="majorBidi"/>
      <w:sz w:val="18"/>
      <w:szCs w:val="18"/>
    </w:rPr>
  </w:style>
  <w:style w:type="character" w:customStyle="1" w:styleId="ab">
    <w:name w:val="註解方塊文字 字元"/>
    <w:basedOn w:val="a0"/>
    <w:link w:val="aa"/>
    <w:rsid w:val="00AB421A"/>
    <w:rPr>
      <w:rFonts w:asciiTheme="majorHAnsi" w:eastAsiaTheme="majorEastAsia" w:hAnsiTheme="majorHAnsi" w:cstheme="majorBidi"/>
      <w:kern w:val="2"/>
      <w:sz w:val="18"/>
      <w:szCs w:val="18"/>
    </w:rPr>
  </w:style>
  <w:style w:type="character" w:customStyle="1" w:styleId="10">
    <w:name w:val="標題 1 字元"/>
    <w:basedOn w:val="a0"/>
    <w:link w:val="1"/>
    <w:rsid w:val="007F4860"/>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032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33337;&#33334;&#21544;&#31246;&#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2147;&#28639;&#39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20</TotalTime>
  <Pages>4</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中華人民共和國船舶噸稅法</dc:title>
  <dc:creator>S-link 電子六法-黃婉玲</dc:creator>
  <cp:lastModifiedBy>黃 6laws</cp:lastModifiedBy>
  <cp:revision>16</cp:revision>
  <dcterms:created xsi:type="dcterms:W3CDTF">2018-01-18T17:10:00Z</dcterms:created>
  <dcterms:modified xsi:type="dcterms:W3CDTF">2024-05-31T18:10:00Z</dcterms:modified>
</cp:coreProperties>
</file>