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CA4C7" w14:textId="75DE41FD" w:rsidR="00AB02D1" w:rsidRDefault="00952AEC" w:rsidP="005D7873">
      <w:pPr>
        <w:adjustRightInd w:val="0"/>
        <w:snapToGrid w:val="0"/>
        <w:ind w:rightChars="8" w:right="16"/>
        <w:jc w:val="right"/>
        <w:rPr>
          <w:rFonts w:ascii="Arial Unicode MS" w:hAnsi="Arial Unicode MS"/>
        </w:rPr>
      </w:pPr>
      <w:r>
        <w:rPr>
          <w:rFonts w:ascii="Arial Unicode MS" w:hAnsi="Arial Unicode MS"/>
          <w:noProof/>
        </w:rPr>
        <w:drawing>
          <wp:inline distT="0" distB="0" distL="0" distR="0" wp14:anchorId="06B33FDD" wp14:editId="6292BD4F">
            <wp:extent cx="419343" cy="419343"/>
            <wp:effectExtent l="0" t="0" r="0" b="0"/>
            <wp:docPr id="2" name="圖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a:extLst>
                        <a:ext uri="{28A0092B-C50C-407E-A947-70E740481C1C}">
                          <a14:useLocalDpi xmlns:a14="http://schemas.microsoft.com/office/drawing/2010/main" val="0"/>
                        </a:ext>
                      </a:extLst>
                    </a:blip>
                    <a:stretch>
                      <a:fillRect/>
                    </a:stretch>
                  </pic:blipFill>
                  <pic:spPr>
                    <a:xfrm>
                      <a:off x="0" y="0"/>
                      <a:ext cx="419343" cy="419343"/>
                    </a:xfrm>
                    <a:prstGeom prst="rect">
                      <a:avLst/>
                    </a:prstGeom>
                  </pic:spPr>
                </pic:pic>
              </a:graphicData>
            </a:graphic>
          </wp:inline>
        </w:drawing>
      </w:r>
    </w:p>
    <w:p w14:paraId="381A11FA" w14:textId="2CF807A1" w:rsidR="00AB02D1" w:rsidRDefault="00AB02D1" w:rsidP="005D7873">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8" w:tgtFrame="_blank" w:history="1">
        <w:r w:rsidRPr="00C60626">
          <w:rPr>
            <w:rStyle w:val="a3"/>
            <w:color w:val="5F5F5F"/>
            <w:sz w:val="18"/>
            <w:szCs w:val="20"/>
          </w:rPr>
          <w:t>更新</w:t>
        </w:r>
      </w:hyperlink>
      <w:r>
        <w:rPr>
          <w:rFonts w:hint="eastAsia"/>
          <w:color w:val="7F7F7F"/>
          <w:sz w:val="18"/>
          <w:szCs w:val="20"/>
          <w:lang w:val="zh-TW"/>
        </w:rPr>
        <w:t>】</w:t>
      </w:r>
      <w:r w:rsidR="00952AEC">
        <w:rPr>
          <w:rFonts w:ascii="Arial Unicode MS" w:hAnsi="Arial Unicode MS"/>
          <w:color w:val="5F5F5F"/>
          <w:sz w:val="18"/>
          <w:szCs w:val="20"/>
        </w:rPr>
        <w:t>2019/8/18</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9" w:tgtFrame="_blank" w:history="1">
        <w:r w:rsidRPr="000B02F2">
          <w:rPr>
            <w:rStyle w:val="a3"/>
            <w:sz w:val="18"/>
            <w:szCs w:val="20"/>
          </w:rPr>
          <w:t>黃婉玲</w:t>
        </w:r>
      </w:hyperlink>
    </w:p>
    <w:p w14:paraId="5B3079B0" w14:textId="77777777" w:rsidR="00AB02D1" w:rsidRDefault="00172209" w:rsidP="00AB02D1">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w:t>
      </w:r>
      <w:r w:rsidR="000B02F2">
        <w:rPr>
          <w:rFonts w:hint="eastAsia"/>
          <w:color w:val="808000"/>
          <w:sz w:val="18"/>
          <w:szCs w:val="20"/>
        </w:rPr>
        <w:t>〉</w:t>
      </w:r>
      <w:r>
        <w:rPr>
          <w:rFonts w:hint="eastAsia"/>
          <w:color w:val="808000"/>
          <w:sz w:val="18"/>
          <w:szCs w:val="20"/>
        </w:rPr>
        <w:t>檢視</w:t>
      </w:r>
      <w:r>
        <w:rPr>
          <w:rFonts w:hint="eastAsia"/>
          <w:color w:val="808000"/>
          <w:sz w:val="18"/>
          <w:szCs w:val="20"/>
        </w:rPr>
        <w:t>--</w:t>
      </w:r>
      <w:r w:rsidR="000B02F2">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6DB934EB" w14:textId="361C2460" w:rsidR="00201E46" w:rsidRDefault="0054572F" w:rsidP="00D44AB2">
      <w:pPr>
        <w:jc w:val="right"/>
        <w:rPr>
          <w:rFonts w:ascii="Arial Unicode MS" w:hAnsi="Arial Unicode MS"/>
          <w:b/>
          <w:color w:val="5F5F5F"/>
          <w:sz w:val="18"/>
        </w:rPr>
      </w:pPr>
      <w:hyperlink r:id="rId10" w:history="1">
        <w:r w:rsidR="00D44AB2">
          <w:rPr>
            <w:rFonts w:ascii="Arial Unicode MS" w:hAnsi="Arial Unicode MS" w:hint="eastAsia"/>
            <w:color w:val="808000"/>
            <w:sz w:val="18"/>
            <w:szCs w:val="20"/>
            <w:u w:val="single"/>
          </w:rPr>
          <w:t>S-link</w:t>
        </w:r>
        <w:r w:rsidR="00D44AB2">
          <w:rPr>
            <w:rFonts w:ascii="Arial Unicode MS" w:hAnsi="Arial Unicode MS" w:hint="eastAsia"/>
            <w:color w:val="808000"/>
            <w:sz w:val="18"/>
            <w:szCs w:val="20"/>
            <w:u w:val="single"/>
          </w:rPr>
          <w:t>總索引</w:t>
        </w:r>
      </w:hyperlink>
      <w:r w:rsidR="000B02F2">
        <w:rPr>
          <w:rFonts w:ascii="Arial Unicode MS" w:hAnsi="Arial Unicode MS" w:hint="eastAsia"/>
          <w:b/>
          <w:color w:val="808000"/>
          <w:sz w:val="18"/>
          <w:szCs w:val="20"/>
        </w:rPr>
        <w:t>〉〉</w:t>
      </w:r>
      <w:hyperlink r:id="rId11" w:anchor="中華人民共和國領海及毗連區法" w:history="1">
        <w:r w:rsidR="00D44AB2" w:rsidRPr="00B309AA">
          <w:rPr>
            <w:rStyle w:val="a3"/>
            <w:rFonts w:ascii="Arial Unicode MS" w:hAnsi="Arial Unicode MS" w:hint="eastAsia"/>
            <w:sz w:val="18"/>
          </w:rPr>
          <w:t>S-link</w:t>
        </w:r>
        <w:r w:rsidR="00D44AB2" w:rsidRPr="00B309AA">
          <w:rPr>
            <w:rStyle w:val="a3"/>
            <w:rFonts w:ascii="Arial Unicode MS" w:hAnsi="Arial Unicode MS" w:hint="eastAsia"/>
            <w:sz w:val="18"/>
          </w:rPr>
          <w:t>大陸法規索引</w:t>
        </w:r>
      </w:hyperlink>
      <w:r w:rsidR="000B02F2">
        <w:rPr>
          <w:rFonts w:ascii="Arial Unicode MS" w:hAnsi="Arial Unicode MS" w:hint="eastAsia"/>
          <w:b/>
          <w:color w:val="5F5F5F"/>
          <w:sz w:val="18"/>
        </w:rPr>
        <w:t>〉〉</w:t>
      </w:r>
      <w:hyperlink r:id="rId12" w:tgtFrame="_blank" w:history="1">
        <w:r w:rsidR="00D44AB2" w:rsidRPr="007E576E">
          <w:rPr>
            <w:rStyle w:val="a3"/>
            <w:rFonts w:hint="eastAsia"/>
            <w:sz w:val="18"/>
          </w:rPr>
          <w:t>線上網頁版</w:t>
        </w:r>
      </w:hyperlink>
      <w:r w:rsidR="000B02F2">
        <w:rPr>
          <w:rFonts w:ascii="Arial Unicode MS" w:hAnsi="Arial Unicode MS" w:hint="eastAsia"/>
          <w:b/>
          <w:color w:val="5F5F5F"/>
          <w:sz w:val="18"/>
        </w:rPr>
        <w:t>〉〉</w:t>
      </w:r>
    </w:p>
    <w:p w14:paraId="75300F5B" w14:textId="77777777" w:rsidR="00A25605" w:rsidRPr="00E9022C" w:rsidRDefault="00A25605" w:rsidP="00D44AB2">
      <w:pPr>
        <w:jc w:val="right"/>
        <w:rPr>
          <w:rFonts w:ascii="Arial Unicode MS" w:hAnsi="Arial Unicode MS"/>
          <w:color w:val="000000"/>
          <w:u w:val="single"/>
        </w:rPr>
      </w:pPr>
    </w:p>
    <w:p w14:paraId="4FCA1D27" w14:textId="77777777" w:rsidR="00172209" w:rsidRPr="00E9022C" w:rsidRDefault="00201E46" w:rsidP="00D44AB2">
      <w:pPr>
        <w:tabs>
          <w:tab w:val="num" w:pos="960"/>
        </w:tabs>
        <w:spacing w:afterLines="50" w:after="180"/>
        <w:ind w:left="200" w:hanging="200"/>
        <w:jc w:val="both"/>
        <w:rPr>
          <w:rFonts w:ascii="Arial Unicode MS" w:hAnsi="Arial Unicode MS"/>
          <w:b/>
          <w:bCs/>
          <w:color w:val="993300"/>
          <w:szCs w:val="20"/>
        </w:rPr>
      </w:pPr>
      <w:r w:rsidRPr="00B2293B">
        <w:rPr>
          <w:rFonts w:ascii="Arial Unicode MS" w:hAnsi="Arial Unicode MS"/>
          <w:b/>
          <w:bCs/>
          <w:color w:val="990000"/>
          <w:szCs w:val="20"/>
        </w:rPr>
        <w:t>【</w:t>
      </w:r>
      <w:r w:rsidRPr="00B2293B">
        <w:rPr>
          <w:rFonts w:ascii="Arial Unicode MS" w:hAnsi="Arial Unicode MS" w:hint="eastAsia"/>
          <w:b/>
          <w:bCs/>
          <w:color w:val="990000"/>
          <w:szCs w:val="20"/>
        </w:rPr>
        <w:t>大陸</w:t>
      </w:r>
      <w:r w:rsidRPr="00B2293B">
        <w:rPr>
          <w:rFonts w:ascii="Arial Unicode MS" w:hAnsi="Arial Unicode MS"/>
          <w:b/>
          <w:bCs/>
          <w:color w:val="990000"/>
          <w:szCs w:val="20"/>
        </w:rPr>
        <w:t>法規】</w:t>
      </w:r>
      <w:r w:rsidR="00FD48E2" w:rsidRPr="00FD48E2">
        <w:rPr>
          <w:rFonts w:ascii="標楷體" w:eastAsia="標楷體" w:hAnsi="標楷體" w:hint="eastAsia"/>
          <w:bCs/>
          <w:color w:val="000000"/>
          <w:kern w:val="0"/>
          <w:sz w:val="32"/>
          <w:szCs w:val="22"/>
          <w14:shadow w14:blurRad="50800" w14:dist="38100" w14:dir="2700000" w14:sx="100000" w14:sy="100000" w14:kx="0" w14:ky="0" w14:algn="tl">
            <w14:srgbClr w14:val="000000">
              <w14:alpha w14:val="60000"/>
            </w14:srgbClr>
          </w14:shadow>
        </w:rPr>
        <w:t>中華人民共和國領海及毗連區法</w:t>
      </w:r>
    </w:p>
    <w:p w14:paraId="17CD4E31" w14:textId="77777777" w:rsidR="00201E46" w:rsidRPr="00E9022C" w:rsidRDefault="00201E46" w:rsidP="00201E46">
      <w:pPr>
        <w:tabs>
          <w:tab w:val="num" w:pos="960"/>
        </w:tabs>
        <w:ind w:left="200" w:hangingChars="100" w:hanging="200"/>
        <w:rPr>
          <w:rFonts w:ascii="Arial Unicode MS" w:hAnsi="Arial Unicode MS"/>
          <w:color w:val="333333"/>
        </w:rPr>
      </w:pPr>
      <w:r w:rsidRPr="00B2293B">
        <w:rPr>
          <w:rFonts w:ascii="Arial Unicode MS" w:hAnsi="Arial Unicode MS"/>
          <w:b/>
          <w:color w:val="990000"/>
        </w:rPr>
        <w:t>【</w:t>
      </w:r>
      <w:r w:rsidRPr="00B2293B">
        <w:rPr>
          <w:rFonts w:ascii="Arial Unicode MS" w:hAnsi="Arial Unicode MS" w:hint="eastAsia"/>
          <w:b/>
          <w:color w:val="990000"/>
        </w:rPr>
        <w:t>發布單位</w:t>
      </w:r>
      <w:r w:rsidRPr="00B2293B">
        <w:rPr>
          <w:rFonts w:ascii="Arial Unicode MS" w:hAnsi="Arial Unicode MS"/>
          <w:b/>
          <w:color w:val="990000"/>
        </w:rPr>
        <w:t>】</w:t>
      </w:r>
      <w:r w:rsidR="0087702E" w:rsidRPr="0087702E">
        <w:rPr>
          <w:rFonts w:ascii="Arial Unicode MS" w:hAnsi="Arial Unicode MS" w:hint="eastAsia"/>
          <w:szCs w:val="20"/>
        </w:rPr>
        <w:t>全國人民代表大會常務委員會</w:t>
      </w:r>
    </w:p>
    <w:p w14:paraId="3A3D6C4B" w14:textId="77777777" w:rsidR="00201E46" w:rsidRPr="00177DCB" w:rsidRDefault="00201E46">
      <w:pPr>
        <w:tabs>
          <w:tab w:val="num" w:pos="960"/>
        </w:tabs>
        <w:rPr>
          <w:rFonts w:ascii="Arial Unicode MS" w:hAnsi="Arial Unicode MS"/>
          <w:bCs/>
          <w:color w:val="333333"/>
          <w:szCs w:val="20"/>
        </w:rPr>
      </w:pPr>
      <w:r w:rsidRPr="00B2293B">
        <w:rPr>
          <w:rFonts w:ascii="Arial Unicode MS" w:hAnsi="Arial Unicode MS"/>
          <w:b/>
          <w:color w:val="990000"/>
          <w:szCs w:val="20"/>
        </w:rPr>
        <w:t>【</w:t>
      </w:r>
      <w:r w:rsidRPr="00B2293B">
        <w:rPr>
          <w:rFonts w:ascii="Arial Unicode MS" w:hAnsi="Arial Unicode MS" w:hint="eastAsia"/>
          <w:b/>
          <w:color w:val="990000"/>
          <w:szCs w:val="20"/>
        </w:rPr>
        <w:t>發布日期</w:t>
      </w:r>
      <w:r w:rsidRPr="00B2293B">
        <w:rPr>
          <w:rFonts w:ascii="Arial Unicode MS" w:hAnsi="Arial Unicode MS"/>
          <w:b/>
          <w:color w:val="990000"/>
          <w:szCs w:val="20"/>
        </w:rPr>
        <w:t>】</w:t>
      </w:r>
      <w:r w:rsidR="004B4685" w:rsidRPr="00FD48E2">
        <w:rPr>
          <w:rFonts w:ascii="Arial Unicode MS" w:hAnsi="Arial Unicode MS"/>
        </w:rPr>
        <w:t>1992</w:t>
      </w:r>
      <w:r w:rsidR="004B4685" w:rsidRPr="00FD48E2">
        <w:rPr>
          <w:rFonts w:ascii="Arial Unicode MS" w:hAnsi="Arial Unicode MS"/>
        </w:rPr>
        <w:t>年</w:t>
      </w:r>
      <w:r w:rsidR="004B4685" w:rsidRPr="00FD48E2">
        <w:rPr>
          <w:rFonts w:ascii="Arial Unicode MS" w:hAnsi="Arial Unicode MS"/>
        </w:rPr>
        <w:t>2</w:t>
      </w:r>
      <w:r w:rsidR="004B4685" w:rsidRPr="00FD48E2">
        <w:rPr>
          <w:rFonts w:ascii="Arial Unicode MS" w:hAnsi="Arial Unicode MS"/>
        </w:rPr>
        <w:t>月</w:t>
      </w:r>
      <w:r w:rsidR="004B4685" w:rsidRPr="00FD48E2">
        <w:rPr>
          <w:rFonts w:ascii="Arial Unicode MS" w:hAnsi="Arial Unicode MS"/>
        </w:rPr>
        <w:t>25</w:t>
      </w:r>
      <w:r w:rsidR="004B4685" w:rsidRPr="00FD48E2">
        <w:rPr>
          <w:rFonts w:ascii="Arial Unicode MS" w:hAnsi="Arial Unicode MS"/>
        </w:rPr>
        <w:t>日</w:t>
      </w:r>
    </w:p>
    <w:p w14:paraId="61703F74" w14:textId="77777777" w:rsidR="00201E46" w:rsidRDefault="00201E46">
      <w:pPr>
        <w:ind w:left="1401" w:hangingChars="700" w:hanging="1401"/>
        <w:rPr>
          <w:rFonts w:ascii="Arial Unicode MS" w:hAnsi="Arial Unicode MS"/>
        </w:rPr>
      </w:pPr>
      <w:r w:rsidRPr="00B2293B">
        <w:rPr>
          <w:rFonts w:ascii="Arial Unicode MS" w:hAnsi="Arial Unicode MS"/>
          <w:b/>
          <w:color w:val="990000"/>
        </w:rPr>
        <w:t>【</w:t>
      </w:r>
      <w:r w:rsidRPr="00B2293B">
        <w:rPr>
          <w:rFonts w:ascii="Arial Unicode MS" w:hAnsi="Arial Unicode MS" w:hint="eastAsia"/>
          <w:b/>
          <w:color w:val="990000"/>
        </w:rPr>
        <w:t>實施日期</w:t>
      </w:r>
      <w:r w:rsidRPr="00B2293B">
        <w:rPr>
          <w:rFonts w:ascii="Arial Unicode MS" w:hAnsi="Arial Unicode MS"/>
          <w:b/>
          <w:color w:val="990000"/>
        </w:rPr>
        <w:t>】</w:t>
      </w:r>
      <w:r w:rsidR="004B4685" w:rsidRPr="00FD48E2">
        <w:rPr>
          <w:rFonts w:ascii="Arial Unicode MS" w:hAnsi="Arial Unicode MS"/>
        </w:rPr>
        <w:t>1992</w:t>
      </w:r>
      <w:r w:rsidR="004B4685" w:rsidRPr="00FD48E2">
        <w:rPr>
          <w:rFonts w:ascii="Arial Unicode MS" w:hAnsi="Arial Unicode MS"/>
        </w:rPr>
        <w:t>年</w:t>
      </w:r>
      <w:r w:rsidR="004B4685" w:rsidRPr="00FD48E2">
        <w:rPr>
          <w:rFonts w:ascii="Arial Unicode MS" w:hAnsi="Arial Unicode MS"/>
        </w:rPr>
        <w:t>2</w:t>
      </w:r>
      <w:r w:rsidR="004B4685" w:rsidRPr="00FD48E2">
        <w:rPr>
          <w:rFonts w:ascii="Arial Unicode MS" w:hAnsi="Arial Unicode MS"/>
        </w:rPr>
        <w:t>月</w:t>
      </w:r>
      <w:r w:rsidR="004B4685" w:rsidRPr="00FD48E2">
        <w:rPr>
          <w:rFonts w:ascii="Arial Unicode MS" w:hAnsi="Arial Unicode MS"/>
        </w:rPr>
        <w:t>25</w:t>
      </w:r>
      <w:r w:rsidR="004B4685" w:rsidRPr="00FD48E2">
        <w:rPr>
          <w:rFonts w:ascii="Arial Unicode MS" w:hAnsi="Arial Unicode MS"/>
        </w:rPr>
        <w:t>日</w:t>
      </w:r>
    </w:p>
    <w:p w14:paraId="2A3F268D" w14:textId="77777777" w:rsidR="00177DCB" w:rsidRPr="00E9022C" w:rsidRDefault="00177DCB" w:rsidP="00177DCB">
      <w:pPr>
        <w:ind w:left="1400" w:hangingChars="700" w:hanging="1400"/>
        <w:rPr>
          <w:rFonts w:ascii="Arial Unicode MS" w:hAnsi="Arial Unicode MS"/>
          <w:color w:val="333333"/>
        </w:rPr>
      </w:pPr>
    </w:p>
    <w:p w14:paraId="53B6A7CB" w14:textId="77777777" w:rsidR="001974AB" w:rsidRPr="00334965" w:rsidRDefault="00201E46" w:rsidP="00A25605">
      <w:pPr>
        <w:pStyle w:val="1"/>
        <w:spacing w:beforeLines="30" w:before="108" w:beforeAutospacing="0" w:afterLines="30" w:after="108" w:afterAutospacing="0"/>
        <w:rPr>
          <w:color w:val="990000"/>
        </w:rPr>
      </w:pPr>
      <w:r w:rsidRPr="00334965">
        <w:rPr>
          <w:color w:val="990000"/>
        </w:rPr>
        <w:t>【</w:t>
      </w:r>
      <w:r w:rsidRPr="00334965">
        <w:rPr>
          <w:rFonts w:hint="eastAsia"/>
          <w:color w:val="990000"/>
        </w:rPr>
        <w:t>法規沿革</w:t>
      </w:r>
      <w:r w:rsidRPr="00334965">
        <w:rPr>
          <w:color w:val="990000"/>
        </w:rPr>
        <w:t>】</w:t>
      </w:r>
      <w:bookmarkStart w:id="1" w:name="_GoBack"/>
      <w:bookmarkEnd w:id="1"/>
    </w:p>
    <w:p w14:paraId="214FF5E8" w14:textId="20098851" w:rsidR="00201E46" w:rsidRPr="00F4471F" w:rsidRDefault="003F1567" w:rsidP="005D7873">
      <w:pPr>
        <w:ind w:leftChars="59" w:left="118"/>
        <w:rPr>
          <w:rFonts w:ascii="Arial Unicode MS" w:hAnsi="Arial Unicode MS"/>
          <w:bCs/>
          <w:color w:val="000000"/>
          <w:sz w:val="18"/>
        </w:rPr>
      </w:pPr>
      <w:r w:rsidRPr="00F4471F">
        <w:rPr>
          <w:rFonts w:ascii="Arial Unicode MS" w:hAnsi="Arial Unicode MS" w:hint="eastAsia"/>
          <w:bCs/>
          <w:color w:val="000000"/>
          <w:sz w:val="18"/>
        </w:rPr>
        <w:t>‧</w:t>
      </w:r>
      <w:r w:rsidR="00FD48E2" w:rsidRPr="00F4471F">
        <w:rPr>
          <w:rFonts w:ascii="Arial Unicode MS" w:hAnsi="Arial Unicode MS"/>
          <w:sz w:val="18"/>
        </w:rPr>
        <w:t>1992</w:t>
      </w:r>
      <w:r w:rsidR="00FD48E2" w:rsidRPr="00F4471F">
        <w:rPr>
          <w:rFonts w:ascii="Arial Unicode MS" w:hAnsi="Arial Unicode MS"/>
          <w:sz w:val="18"/>
        </w:rPr>
        <w:t>年</w:t>
      </w:r>
      <w:r w:rsidR="00FD48E2" w:rsidRPr="00F4471F">
        <w:rPr>
          <w:rFonts w:ascii="Arial Unicode MS" w:hAnsi="Arial Unicode MS"/>
          <w:sz w:val="18"/>
        </w:rPr>
        <w:t>2</w:t>
      </w:r>
      <w:r w:rsidR="00FD48E2" w:rsidRPr="00F4471F">
        <w:rPr>
          <w:rFonts w:ascii="Arial Unicode MS" w:hAnsi="Arial Unicode MS"/>
          <w:sz w:val="18"/>
        </w:rPr>
        <w:t>月</w:t>
      </w:r>
      <w:r w:rsidR="00FD48E2" w:rsidRPr="00F4471F">
        <w:rPr>
          <w:rFonts w:ascii="Arial Unicode MS" w:hAnsi="Arial Unicode MS"/>
          <w:sz w:val="18"/>
        </w:rPr>
        <w:t>25</w:t>
      </w:r>
      <w:r w:rsidR="00FD48E2" w:rsidRPr="00F4471F">
        <w:rPr>
          <w:rFonts w:ascii="Arial Unicode MS" w:hAnsi="Arial Unicode MS"/>
          <w:sz w:val="18"/>
        </w:rPr>
        <w:t>日第七屆全國人民代表大會常務委員會第二十四次會議通過</w:t>
      </w:r>
      <w:r w:rsidR="004B4685" w:rsidRPr="00F4471F">
        <w:rPr>
          <w:rFonts w:ascii="Arial Unicode MS" w:hAnsi="Arial Unicode MS" w:hint="eastAsia"/>
          <w:sz w:val="18"/>
        </w:rPr>
        <w:t>；</w:t>
      </w:r>
      <w:r w:rsidR="00FD48E2" w:rsidRPr="00F4471F">
        <w:rPr>
          <w:rFonts w:ascii="Arial Unicode MS" w:hAnsi="Arial Unicode MS"/>
          <w:sz w:val="18"/>
        </w:rPr>
        <w:t>1992</w:t>
      </w:r>
      <w:r w:rsidR="00FD48E2" w:rsidRPr="00F4471F">
        <w:rPr>
          <w:rFonts w:ascii="Arial Unicode MS" w:hAnsi="Arial Unicode MS"/>
          <w:sz w:val="18"/>
        </w:rPr>
        <w:t>年</w:t>
      </w:r>
      <w:r w:rsidR="00FD48E2" w:rsidRPr="00F4471F">
        <w:rPr>
          <w:rFonts w:ascii="Arial Unicode MS" w:hAnsi="Arial Unicode MS"/>
          <w:sz w:val="18"/>
        </w:rPr>
        <w:t>2</w:t>
      </w:r>
      <w:r w:rsidR="00FD48E2" w:rsidRPr="00F4471F">
        <w:rPr>
          <w:rFonts w:ascii="Arial Unicode MS" w:hAnsi="Arial Unicode MS"/>
          <w:sz w:val="18"/>
        </w:rPr>
        <w:t>月</w:t>
      </w:r>
      <w:r w:rsidR="00FD48E2" w:rsidRPr="00F4471F">
        <w:rPr>
          <w:rFonts w:ascii="Arial Unicode MS" w:hAnsi="Arial Unicode MS"/>
          <w:sz w:val="18"/>
        </w:rPr>
        <w:t>25</w:t>
      </w:r>
      <w:r w:rsidR="00FD48E2" w:rsidRPr="00F4471F">
        <w:rPr>
          <w:rFonts w:ascii="Arial Unicode MS" w:hAnsi="Arial Unicode MS"/>
          <w:sz w:val="18"/>
        </w:rPr>
        <w:t>日中華人民共和國主席令第五十五號公佈自公</w:t>
      </w:r>
      <w:r w:rsidR="0054572F" w:rsidRPr="0054572F">
        <w:rPr>
          <w:rFonts w:ascii="Arial Unicode MS" w:hAnsi="Arial Unicode MS" w:hint="eastAsia"/>
          <w:sz w:val="18"/>
        </w:rPr>
        <w:t>布</w:t>
      </w:r>
      <w:r w:rsidR="00FD48E2" w:rsidRPr="00F4471F">
        <w:rPr>
          <w:rFonts w:ascii="Arial Unicode MS" w:hAnsi="Arial Unicode MS"/>
          <w:sz w:val="18"/>
        </w:rPr>
        <w:t>之日起施行</w:t>
      </w:r>
    </w:p>
    <w:p w14:paraId="139992FC" w14:textId="77777777" w:rsidR="003F1567" w:rsidRPr="003F1567" w:rsidRDefault="003F1567" w:rsidP="00FD48E2"/>
    <w:p w14:paraId="05A88EE3" w14:textId="77777777" w:rsidR="00201E46" w:rsidRPr="00334965" w:rsidRDefault="00201E46" w:rsidP="00334965">
      <w:pPr>
        <w:pStyle w:val="1"/>
        <w:rPr>
          <w:color w:val="990000"/>
          <w:szCs w:val="27"/>
          <w:lang w:val="zh-TW"/>
        </w:rPr>
      </w:pPr>
      <w:r w:rsidRPr="00334965">
        <w:rPr>
          <w:color w:val="990000"/>
        </w:rPr>
        <w:t>【</w:t>
      </w:r>
      <w:r w:rsidRPr="00334965">
        <w:rPr>
          <w:rFonts w:hint="eastAsia"/>
          <w:color w:val="990000"/>
        </w:rPr>
        <w:t>法規內容</w:t>
      </w:r>
      <w:r w:rsidRPr="00334965">
        <w:rPr>
          <w:color w:val="990000"/>
        </w:rPr>
        <w:t>】</w:t>
      </w:r>
    </w:p>
    <w:p w14:paraId="2E7E5CED" w14:textId="77777777" w:rsidR="00FD48E2" w:rsidRDefault="00201E46" w:rsidP="00FD48E2">
      <w:pPr>
        <w:pStyle w:val="2"/>
      </w:pPr>
      <w:bookmarkStart w:id="2" w:name="_第一章__總"/>
      <w:bookmarkStart w:id="3" w:name="a1"/>
      <w:bookmarkEnd w:id="2"/>
      <w:bookmarkEnd w:id="3"/>
      <w:r w:rsidRPr="005D7873">
        <w:rPr>
          <w:rFonts w:hint="eastAsia"/>
        </w:rPr>
        <w:t>第</w:t>
      </w:r>
      <w:r w:rsidR="005D7873" w:rsidRPr="005D7873">
        <w:rPr>
          <w:rFonts w:hint="eastAsia"/>
        </w:rPr>
        <w:t>1</w:t>
      </w:r>
      <w:r w:rsidR="00FD48E2">
        <w:rPr>
          <w:rFonts w:hint="eastAsia"/>
        </w:rPr>
        <w:t>條</w:t>
      </w:r>
    </w:p>
    <w:p w14:paraId="40BFCE5C" w14:textId="77777777" w:rsidR="00FD48E2" w:rsidRDefault="00FD48E2" w:rsidP="00FD48E2">
      <w:pPr>
        <w:ind w:left="142"/>
      </w:pPr>
      <w:r>
        <w:t xml:space="preserve">　　為行使中華人民共和國對領海的主權和對毗連區的管制權，維護國家安全和海洋權益，制定本法。</w:t>
      </w:r>
    </w:p>
    <w:p w14:paraId="195C663B" w14:textId="77777777" w:rsidR="00FD48E2" w:rsidRDefault="00FD48E2" w:rsidP="00FD48E2">
      <w:pPr>
        <w:pStyle w:val="2"/>
      </w:pPr>
      <w:bookmarkStart w:id="4" w:name="a2"/>
      <w:bookmarkEnd w:id="4"/>
      <w:r>
        <w:t>第</w:t>
      </w:r>
      <w:r>
        <w:t>2</w:t>
      </w:r>
      <w:r>
        <w:t>條</w:t>
      </w:r>
    </w:p>
    <w:p w14:paraId="08CAB1DD" w14:textId="77777777" w:rsidR="00FD48E2" w:rsidRDefault="00FD48E2" w:rsidP="00FD48E2">
      <w:pPr>
        <w:ind w:left="142"/>
      </w:pPr>
      <w:r>
        <w:t xml:space="preserve">　　中華人民共和國領海為鄰接中華人民共和國陸地領土和內水的一帶海域。</w:t>
      </w:r>
    </w:p>
    <w:p w14:paraId="63162940" w14:textId="77777777" w:rsidR="00FD48E2" w:rsidRPr="00FD48E2" w:rsidRDefault="00FD48E2" w:rsidP="00FD48E2">
      <w:pPr>
        <w:ind w:left="142"/>
        <w:rPr>
          <w:color w:val="17365D"/>
        </w:rPr>
      </w:pPr>
      <w:r w:rsidRPr="00FD48E2">
        <w:rPr>
          <w:color w:val="17365D"/>
        </w:rPr>
        <w:t xml:space="preserve">　　中華人民共和國的陸地領土包括中華人民共和國大陸及其沿海島嶼、臺灣及其包括釣魚島在內的附屬各島、澎湖列島、東沙群島、西沙群島、中沙群島、南沙群島以及其他一切屬於中華人民共和國的島嶼。</w:t>
      </w:r>
    </w:p>
    <w:p w14:paraId="64395E67" w14:textId="77777777" w:rsidR="00FD48E2" w:rsidRDefault="00FD48E2" w:rsidP="00FD48E2">
      <w:pPr>
        <w:ind w:left="142"/>
      </w:pPr>
      <w:r>
        <w:t xml:space="preserve">　　中華人民共和國領海基線向陸地一側的水域為中華人民共和國的內水。</w:t>
      </w:r>
    </w:p>
    <w:p w14:paraId="07E793AD" w14:textId="77777777" w:rsidR="00FD48E2" w:rsidRDefault="00FD48E2" w:rsidP="00FD48E2">
      <w:pPr>
        <w:pStyle w:val="2"/>
      </w:pPr>
      <w:bookmarkStart w:id="5" w:name="a3"/>
      <w:bookmarkEnd w:id="5"/>
      <w:r>
        <w:t>第</w:t>
      </w:r>
      <w:r>
        <w:t>3</w:t>
      </w:r>
      <w:r>
        <w:t>條</w:t>
      </w:r>
    </w:p>
    <w:p w14:paraId="5A1909CB" w14:textId="77777777" w:rsidR="00FD48E2" w:rsidRDefault="00FD48E2" w:rsidP="00FD48E2">
      <w:pPr>
        <w:ind w:left="142"/>
      </w:pPr>
      <w:r>
        <w:t xml:space="preserve">　　中華人民共和國領海的寬度從領海基線量起為十二海裡。</w:t>
      </w:r>
    </w:p>
    <w:p w14:paraId="0D99A88F" w14:textId="77777777" w:rsidR="00FD48E2" w:rsidRPr="00FD48E2" w:rsidRDefault="00FD48E2" w:rsidP="00FD48E2">
      <w:pPr>
        <w:ind w:left="142"/>
        <w:rPr>
          <w:color w:val="17365D"/>
        </w:rPr>
      </w:pPr>
      <w:r w:rsidRPr="00FD48E2">
        <w:rPr>
          <w:color w:val="17365D"/>
        </w:rPr>
        <w:t xml:space="preserve">　　中華人民共和國領海基線採用直線基線法劃定，由各相鄰基點之間的直線連線組成。</w:t>
      </w:r>
    </w:p>
    <w:p w14:paraId="5AE43A6F" w14:textId="77777777" w:rsidR="00FD48E2" w:rsidRDefault="00FD48E2" w:rsidP="00FD48E2">
      <w:pPr>
        <w:ind w:left="142"/>
      </w:pPr>
      <w:r>
        <w:t xml:space="preserve">　　中華人民共和國領海的外部界限為一條其每一點與領海基線的最近點距離等於十二海裡的線。</w:t>
      </w:r>
    </w:p>
    <w:p w14:paraId="00A28EEB" w14:textId="77777777" w:rsidR="00FD48E2" w:rsidRDefault="00FD48E2" w:rsidP="00FD48E2">
      <w:pPr>
        <w:pStyle w:val="2"/>
      </w:pPr>
      <w:bookmarkStart w:id="6" w:name="a4"/>
      <w:bookmarkEnd w:id="6"/>
      <w:r>
        <w:t>第</w:t>
      </w:r>
      <w:r>
        <w:t>4</w:t>
      </w:r>
      <w:r>
        <w:t>條</w:t>
      </w:r>
    </w:p>
    <w:p w14:paraId="775171A2" w14:textId="77777777" w:rsidR="00FD48E2" w:rsidRDefault="00FD48E2" w:rsidP="00FD48E2">
      <w:pPr>
        <w:ind w:left="142"/>
      </w:pPr>
      <w:r>
        <w:t xml:space="preserve">　　中華人民共和國毗連區為領海以外鄰接領海的一帶海域。毗連區的寬度為十二海裡。</w:t>
      </w:r>
    </w:p>
    <w:p w14:paraId="0A8150C3" w14:textId="77777777" w:rsidR="00FD48E2" w:rsidRPr="00FD48E2" w:rsidRDefault="00FD48E2" w:rsidP="00FD48E2">
      <w:pPr>
        <w:ind w:left="142"/>
        <w:rPr>
          <w:color w:val="17365D"/>
        </w:rPr>
      </w:pPr>
      <w:r w:rsidRPr="00FD48E2">
        <w:rPr>
          <w:color w:val="17365D"/>
        </w:rPr>
        <w:t xml:space="preserve">　　中華人民共和國毗連區的外部界限為一條其每一點與領海基線的最近點距離等於二十四海裡的線。</w:t>
      </w:r>
    </w:p>
    <w:p w14:paraId="1E040010" w14:textId="77777777" w:rsidR="00FD48E2" w:rsidRDefault="00FD48E2" w:rsidP="00FD48E2">
      <w:pPr>
        <w:pStyle w:val="2"/>
      </w:pPr>
      <w:bookmarkStart w:id="7" w:name="a5"/>
      <w:bookmarkEnd w:id="7"/>
      <w:r>
        <w:t>第</w:t>
      </w:r>
      <w:r>
        <w:t>5</w:t>
      </w:r>
      <w:r>
        <w:t>條</w:t>
      </w:r>
    </w:p>
    <w:p w14:paraId="1A833AA2" w14:textId="77777777" w:rsidR="00FD48E2" w:rsidRDefault="00FD48E2" w:rsidP="00FD48E2">
      <w:pPr>
        <w:ind w:left="142"/>
      </w:pPr>
      <w:r>
        <w:t xml:space="preserve">　　中華人民共和國對領海的主權及于領海上空、領海的海床及底土。</w:t>
      </w:r>
    </w:p>
    <w:p w14:paraId="376D2401" w14:textId="77777777" w:rsidR="00FD48E2" w:rsidRDefault="00FD48E2" w:rsidP="00FD48E2">
      <w:pPr>
        <w:pStyle w:val="2"/>
      </w:pPr>
      <w:bookmarkStart w:id="8" w:name="a6"/>
      <w:bookmarkEnd w:id="8"/>
      <w:r>
        <w:lastRenderedPageBreak/>
        <w:t>第</w:t>
      </w:r>
      <w:r>
        <w:t>6</w:t>
      </w:r>
      <w:r>
        <w:t>條</w:t>
      </w:r>
    </w:p>
    <w:p w14:paraId="710B1B51" w14:textId="77777777" w:rsidR="00FD48E2" w:rsidRDefault="00FD48E2" w:rsidP="00FD48E2">
      <w:pPr>
        <w:ind w:left="142"/>
      </w:pPr>
      <w:r>
        <w:t xml:space="preserve">　　外國非軍用船舶，享有依法無害通過中華人民共和國領海的權利。</w:t>
      </w:r>
    </w:p>
    <w:p w14:paraId="5223F447" w14:textId="77777777" w:rsidR="00FD48E2" w:rsidRPr="00FD48E2" w:rsidRDefault="00FD48E2" w:rsidP="00FD48E2">
      <w:pPr>
        <w:ind w:left="142"/>
        <w:rPr>
          <w:color w:val="17365D"/>
        </w:rPr>
      </w:pPr>
      <w:r w:rsidRPr="00FD48E2">
        <w:rPr>
          <w:color w:val="17365D"/>
        </w:rPr>
        <w:t xml:space="preserve">　　外國軍用船舶進入中華人民共和國領海，須經中華人民共和國政府批准。</w:t>
      </w:r>
    </w:p>
    <w:p w14:paraId="485F1964" w14:textId="77777777" w:rsidR="00FD48E2" w:rsidRDefault="00FD48E2" w:rsidP="00FD48E2">
      <w:pPr>
        <w:pStyle w:val="2"/>
      </w:pPr>
      <w:bookmarkStart w:id="9" w:name="a7"/>
      <w:bookmarkEnd w:id="9"/>
      <w:r>
        <w:t>第</w:t>
      </w:r>
      <w:r>
        <w:t>7</w:t>
      </w:r>
      <w:r>
        <w:t>條</w:t>
      </w:r>
    </w:p>
    <w:p w14:paraId="035DE3C1" w14:textId="77777777" w:rsidR="00FD48E2" w:rsidRDefault="00FD48E2" w:rsidP="00FD48E2">
      <w:pPr>
        <w:ind w:left="142"/>
      </w:pPr>
      <w:r>
        <w:t xml:space="preserve">　　外國潛水艇和其他潛水器通過中華人民共和國領海，必須在海面航行，並展示其旗幟。</w:t>
      </w:r>
    </w:p>
    <w:p w14:paraId="43F70F19" w14:textId="77777777" w:rsidR="00FD48E2" w:rsidRDefault="00FD48E2" w:rsidP="00FD48E2">
      <w:pPr>
        <w:pStyle w:val="2"/>
      </w:pPr>
      <w:bookmarkStart w:id="10" w:name="a8"/>
      <w:bookmarkEnd w:id="10"/>
      <w:r>
        <w:t>第</w:t>
      </w:r>
      <w:r>
        <w:t>8</w:t>
      </w:r>
      <w:r>
        <w:t>條</w:t>
      </w:r>
    </w:p>
    <w:p w14:paraId="780AFD75" w14:textId="77777777" w:rsidR="00FD48E2" w:rsidRDefault="00FD48E2" w:rsidP="00FD48E2">
      <w:pPr>
        <w:ind w:left="142"/>
      </w:pPr>
      <w:r>
        <w:t xml:space="preserve">　　外國船舶通過中華人民共和國領海，必須遵守中華人民共和國法律、法規，不得損害中華人民共和國的和平、安全和良好秩序。</w:t>
      </w:r>
    </w:p>
    <w:p w14:paraId="58AA675D" w14:textId="77777777" w:rsidR="00FD48E2" w:rsidRPr="00FD48E2" w:rsidRDefault="00FD48E2" w:rsidP="00FD48E2">
      <w:pPr>
        <w:ind w:left="142"/>
        <w:rPr>
          <w:color w:val="17365D"/>
        </w:rPr>
      </w:pPr>
      <w:r w:rsidRPr="00FD48E2">
        <w:rPr>
          <w:color w:val="17365D"/>
        </w:rPr>
        <w:t xml:space="preserve">　　外國核動力船舶和載運核物質、有毒物質或者其他危險物質的船舶通過中華人民共和國領海，必須持有有關證書，並採取特別預防措施。</w:t>
      </w:r>
    </w:p>
    <w:p w14:paraId="1C4C505A" w14:textId="77777777" w:rsidR="00FD48E2" w:rsidRDefault="00FD48E2" w:rsidP="00FD48E2">
      <w:pPr>
        <w:ind w:left="142"/>
      </w:pPr>
      <w:r>
        <w:t xml:space="preserve">　　中華人民共和國政府有權採取一切必要措施，以防止和制止對領海的非無害通過。</w:t>
      </w:r>
    </w:p>
    <w:p w14:paraId="36B33FF2" w14:textId="77777777" w:rsidR="00FD48E2" w:rsidRPr="00FD48E2" w:rsidRDefault="00FD48E2" w:rsidP="00FD48E2">
      <w:pPr>
        <w:ind w:left="142"/>
        <w:rPr>
          <w:color w:val="17365D"/>
        </w:rPr>
      </w:pPr>
      <w:r w:rsidRPr="00FD48E2">
        <w:rPr>
          <w:color w:val="17365D"/>
        </w:rPr>
        <w:t xml:space="preserve">　　外國船舶違反中華人民共和國法律、法規的，由中華人民共和國有關機關依法處理。</w:t>
      </w:r>
    </w:p>
    <w:p w14:paraId="15A90A0C" w14:textId="77777777" w:rsidR="00FD48E2" w:rsidRDefault="00FD48E2" w:rsidP="00FD48E2">
      <w:pPr>
        <w:pStyle w:val="2"/>
      </w:pPr>
      <w:bookmarkStart w:id="11" w:name="a9"/>
      <w:bookmarkEnd w:id="11"/>
      <w:r>
        <w:t>第</w:t>
      </w:r>
      <w:r>
        <w:t>9</w:t>
      </w:r>
      <w:r>
        <w:t>條</w:t>
      </w:r>
    </w:p>
    <w:p w14:paraId="10F32DC0" w14:textId="77777777" w:rsidR="00FD48E2" w:rsidRDefault="00FD48E2" w:rsidP="00FD48E2">
      <w:pPr>
        <w:ind w:left="142"/>
      </w:pPr>
      <w:r>
        <w:t xml:space="preserve">　　為維護航行安全和其他特殊需要，中華人民共和國政府可以要求通過中華人民共和國領海的外國船舶使用指定的航道或者依照規定的分道通航制航行，具體辦法由中華人民共和國政府或者其有關主管部門公佈。</w:t>
      </w:r>
    </w:p>
    <w:p w14:paraId="5C2EEBDA" w14:textId="77777777" w:rsidR="00FD48E2" w:rsidRDefault="00FD48E2" w:rsidP="00FD48E2">
      <w:pPr>
        <w:pStyle w:val="2"/>
      </w:pPr>
      <w:bookmarkStart w:id="12" w:name="a10"/>
      <w:bookmarkEnd w:id="12"/>
      <w:r>
        <w:t>第</w:t>
      </w:r>
      <w:r>
        <w:t>10</w:t>
      </w:r>
      <w:r>
        <w:t>條</w:t>
      </w:r>
    </w:p>
    <w:p w14:paraId="0F1AE084" w14:textId="77777777" w:rsidR="00FD48E2" w:rsidRDefault="00FD48E2" w:rsidP="00FD48E2">
      <w:pPr>
        <w:ind w:left="142"/>
      </w:pPr>
      <w:r>
        <w:t xml:space="preserve">　　外國軍用船舶或者用於非商業目的的外國政府船舶在通過中華人民共和國領海時，違反中華人民共和國法律、法規的，中華人民共和國有關主管機關有權令其立即離開領海，對所造成的損失或者損害，船旗國應當負國際責任。</w:t>
      </w:r>
    </w:p>
    <w:p w14:paraId="1523E506" w14:textId="77777777" w:rsidR="00FD48E2" w:rsidRDefault="00FD48E2" w:rsidP="00FD48E2">
      <w:pPr>
        <w:pStyle w:val="2"/>
      </w:pPr>
      <w:bookmarkStart w:id="13" w:name="a11"/>
      <w:bookmarkEnd w:id="13"/>
      <w:r>
        <w:t>第</w:t>
      </w:r>
      <w:r>
        <w:t>11</w:t>
      </w:r>
      <w:r>
        <w:t>條</w:t>
      </w:r>
    </w:p>
    <w:p w14:paraId="1D15CC15" w14:textId="77777777" w:rsidR="00FD48E2" w:rsidRDefault="00FD48E2" w:rsidP="00FD48E2">
      <w:pPr>
        <w:ind w:left="142"/>
      </w:pPr>
      <w:r>
        <w:t xml:space="preserve">　　任何國際組織、外國的組織或者個人，在中華人民共和國領海內進行科學研究、海洋作業等活動，須經中華人民共和國政府或者其有關主管部門批准，遵守中華人民共和國法律、法規。</w:t>
      </w:r>
    </w:p>
    <w:p w14:paraId="6842FE3E" w14:textId="77777777" w:rsidR="00FD48E2" w:rsidRPr="00FD48E2" w:rsidRDefault="00FD48E2" w:rsidP="00FD48E2">
      <w:pPr>
        <w:ind w:left="142"/>
        <w:rPr>
          <w:color w:val="17365D"/>
        </w:rPr>
      </w:pPr>
      <w:r w:rsidRPr="00FD48E2">
        <w:rPr>
          <w:color w:val="17365D"/>
        </w:rPr>
        <w:t xml:space="preserve">　　違反前款規定，非法進入中華人民共和國領海進行科學研究、海洋作業等活動的，由中華人民共和國有關機關依法處理。</w:t>
      </w:r>
    </w:p>
    <w:p w14:paraId="6D208EB3" w14:textId="77777777" w:rsidR="00FD48E2" w:rsidRDefault="00FD48E2" w:rsidP="00FD48E2">
      <w:pPr>
        <w:pStyle w:val="2"/>
      </w:pPr>
      <w:bookmarkStart w:id="14" w:name="a12"/>
      <w:bookmarkEnd w:id="14"/>
      <w:r>
        <w:t>第</w:t>
      </w:r>
      <w:r>
        <w:t>12</w:t>
      </w:r>
      <w:r>
        <w:t>條</w:t>
      </w:r>
    </w:p>
    <w:p w14:paraId="150F64BD" w14:textId="77777777" w:rsidR="00FD48E2" w:rsidRDefault="00FD48E2" w:rsidP="00FD48E2">
      <w:pPr>
        <w:ind w:left="142"/>
      </w:pPr>
      <w:r>
        <w:t xml:space="preserve">　　外國航空器只有根據該國政府與中華人民共和國政府簽訂的協定、協定，或者經中華人民共和國政府或者其授權的機關批准或者接受，方可進入中華人民共和國領海上空。</w:t>
      </w:r>
    </w:p>
    <w:p w14:paraId="0A9855F2" w14:textId="77777777" w:rsidR="00FD48E2" w:rsidRDefault="00FD48E2" w:rsidP="00FD48E2">
      <w:pPr>
        <w:pStyle w:val="2"/>
      </w:pPr>
      <w:bookmarkStart w:id="15" w:name="a13"/>
      <w:bookmarkEnd w:id="15"/>
      <w:r>
        <w:t>第</w:t>
      </w:r>
      <w:r>
        <w:t>13</w:t>
      </w:r>
      <w:r>
        <w:t>條</w:t>
      </w:r>
    </w:p>
    <w:p w14:paraId="1125C9A2" w14:textId="77777777" w:rsidR="00FD48E2" w:rsidRDefault="00FD48E2" w:rsidP="00FD48E2">
      <w:pPr>
        <w:ind w:left="142"/>
      </w:pPr>
      <w:r>
        <w:t xml:space="preserve">　　中華人民共和國有權在毗連區內，為防止和懲處在其陸地領土、內水或者領海內違反有關安全、海關、財政、衛生或者入境出境管理的法律、法規的行為行使管制權。</w:t>
      </w:r>
    </w:p>
    <w:p w14:paraId="71B4FF79" w14:textId="77777777" w:rsidR="00FD48E2" w:rsidRDefault="00FD48E2" w:rsidP="00FD48E2">
      <w:pPr>
        <w:pStyle w:val="2"/>
      </w:pPr>
      <w:bookmarkStart w:id="16" w:name="a14"/>
      <w:bookmarkEnd w:id="16"/>
      <w:r>
        <w:t>第</w:t>
      </w:r>
      <w:r>
        <w:t>14</w:t>
      </w:r>
      <w:r>
        <w:t>條</w:t>
      </w:r>
    </w:p>
    <w:p w14:paraId="47B9CAEE" w14:textId="77777777" w:rsidR="00FD48E2" w:rsidRDefault="00FD48E2" w:rsidP="00FD48E2">
      <w:pPr>
        <w:ind w:left="142"/>
      </w:pPr>
      <w:r>
        <w:t xml:space="preserve">　　中華人民共和國有關主管機關有充分理由認為外國船舶違反中華人民共和國法律、法規時，可以對該外國船舶行使緊追權。</w:t>
      </w:r>
    </w:p>
    <w:p w14:paraId="3DAADD9C" w14:textId="77777777" w:rsidR="00FD48E2" w:rsidRPr="00FD48E2" w:rsidRDefault="00FD48E2" w:rsidP="00FD48E2">
      <w:pPr>
        <w:ind w:left="142"/>
        <w:rPr>
          <w:color w:val="17365D"/>
        </w:rPr>
      </w:pPr>
      <w:r w:rsidRPr="00FD48E2">
        <w:rPr>
          <w:color w:val="17365D"/>
        </w:rPr>
        <w:t xml:space="preserve">　　追逐須在外國船舶或者其小艇之一或者以被追逐的船舶為母船進行活動的其他船艇在中華人民共和國的內水、領海或者毗連區內時開始。</w:t>
      </w:r>
    </w:p>
    <w:p w14:paraId="5F0478A5" w14:textId="77777777" w:rsidR="00FD48E2" w:rsidRDefault="00FD48E2" w:rsidP="00FD48E2">
      <w:pPr>
        <w:ind w:left="142"/>
      </w:pPr>
      <w:r>
        <w:t xml:space="preserve">　　如果外國船舶是在中華人民共和國毗連區內，追逐只有在本法第</w:t>
      </w:r>
      <w:hyperlink w:anchor="a13" w:history="1">
        <w:r w:rsidRPr="00713FA6">
          <w:rPr>
            <w:rStyle w:val="a3"/>
            <w:rFonts w:ascii="Times New Roman" w:hAnsi="Times New Roman"/>
          </w:rPr>
          <w:t>十三</w:t>
        </w:r>
      </w:hyperlink>
      <w:r>
        <w:t>條所列有關法律、</w:t>
      </w:r>
      <w:r>
        <w:lastRenderedPageBreak/>
        <w:t>法規規定的權利受到侵犯時方可進行。</w:t>
      </w:r>
    </w:p>
    <w:p w14:paraId="49953D04" w14:textId="77777777" w:rsidR="00FD48E2" w:rsidRPr="00FD48E2" w:rsidRDefault="00FD48E2" w:rsidP="00FD48E2">
      <w:pPr>
        <w:ind w:left="142"/>
        <w:rPr>
          <w:color w:val="17365D"/>
        </w:rPr>
      </w:pPr>
      <w:r w:rsidRPr="00FD48E2">
        <w:rPr>
          <w:color w:val="17365D"/>
        </w:rPr>
        <w:t xml:space="preserve">　　追逐只要沒有中斷，可以在中華人民共和國領海或者毗連區外繼續進行。在被追逐的船舶進入其本國領海或者第三國領海時，追逐終止。</w:t>
      </w:r>
    </w:p>
    <w:p w14:paraId="7D528B94" w14:textId="77777777" w:rsidR="00FD48E2" w:rsidRDefault="00FD48E2" w:rsidP="00FD48E2">
      <w:pPr>
        <w:ind w:left="142"/>
      </w:pPr>
      <w:r>
        <w:t xml:space="preserve">　　本條規定的緊追權由中華人民共和國軍用船舶、軍用航空器或者中華人民共和國政府授權的執行政府公務的船舶、航空器行使。</w:t>
      </w:r>
    </w:p>
    <w:p w14:paraId="62C1B7C1" w14:textId="77777777" w:rsidR="00FD48E2" w:rsidRDefault="00FD48E2" w:rsidP="00FD48E2">
      <w:pPr>
        <w:pStyle w:val="2"/>
      </w:pPr>
      <w:bookmarkStart w:id="17" w:name="a15"/>
      <w:bookmarkEnd w:id="17"/>
      <w:r>
        <w:t>第</w:t>
      </w:r>
      <w:r>
        <w:t>15</w:t>
      </w:r>
      <w:r>
        <w:t>條</w:t>
      </w:r>
    </w:p>
    <w:p w14:paraId="3CB36538" w14:textId="77777777" w:rsidR="00FD48E2" w:rsidRDefault="00FD48E2" w:rsidP="00FD48E2">
      <w:pPr>
        <w:ind w:left="142"/>
      </w:pPr>
      <w:r>
        <w:t xml:space="preserve">　　中華人民共和國領海基線由中華人民共和國政府公佈。</w:t>
      </w:r>
    </w:p>
    <w:p w14:paraId="493EE3B8" w14:textId="77777777" w:rsidR="00FD48E2" w:rsidRDefault="00FD48E2" w:rsidP="00FD48E2">
      <w:pPr>
        <w:pStyle w:val="2"/>
      </w:pPr>
      <w:bookmarkStart w:id="18" w:name="a16"/>
      <w:bookmarkEnd w:id="18"/>
      <w:r>
        <w:t>第</w:t>
      </w:r>
      <w:r>
        <w:t>16</w:t>
      </w:r>
      <w:r>
        <w:t>條</w:t>
      </w:r>
    </w:p>
    <w:p w14:paraId="0CB2E389" w14:textId="77777777" w:rsidR="00FD48E2" w:rsidRDefault="00FD48E2" w:rsidP="00FD48E2">
      <w:pPr>
        <w:ind w:left="142"/>
      </w:pPr>
      <w:r>
        <w:t xml:space="preserve">　　中華人民共和國政府依據本法制定有關規定。</w:t>
      </w:r>
    </w:p>
    <w:p w14:paraId="45CFC281" w14:textId="77777777" w:rsidR="00FD48E2" w:rsidRPr="00FD48E2" w:rsidRDefault="00FD48E2" w:rsidP="00FD48E2">
      <w:pPr>
        <w:pStyle w:val="2"/>
      </w:pPr>
      <w:bookmarkStart w:id="19" w:name="a17"/>
      <w:bookmarkEnd w:id="19"/>
      <w:r w:rsidRPr="00FD48E2">
        <w:t>第</w:t>
      </w:r>
      <w:r w:rsidRPr="00FD48E2">
        <w:t>17</w:t>
      </w:r>
      <w:r w:rsidRPr="00FD48E2">
        <w:t>條</w:t>
      </w:r>
    </w:p>
    <w:p w14:paraId="4E65B07F" w14:textId="77777777" w:rsidR="00B2293B" w:rsidRPr="00FD48E2" w:rsidRDefault="00FD48E2" w:rsidP="00FD48E2">
      <w:pPr>
        <w:ind w:leftChars="75" w:left="150"/>
        <w:jc w:val="both"/>
        <w:rPr>
          <w:rFonts w:ascii="Arial Unicode MS" w:hAnsi="Arial Unicode MS"/>
        </w:rPr>
      </w:pPr>
      <w:r>
        <w:t xml:space="preserve">　　本法自公佈之日起施行。</w:t>
      </w:r>
    </w:p>
    <w:p w14:paraId="2E30C59D" w14:textId="77777777" w:rsidR="00B2293B" w:rsidRPr="00E9022C" w:rsidRDefault="00B2293B" w:rsidP="005D7873">
      <w:pPr>
        <w:ind w:leftChars="75" w:left="150"/>
        <w:jc w:val="both"/>
        <w:rPr>
          <w:rFonts w:ascii="Arial Unicode MS" w:hAnsi="Arial Unicode MS"/>
        </w:rPr>
      </w:pPr>
    </w:p>
    <w:p w14:paraId="2019EAD5" w14:textId="77777777" w:rsidR="001635EA" w:rsidRPr="00E9022C" w:rsidRDefault="001635EA" w:rsidP="005D7873">
      <w:pPr>
        <w:ind w:leftChars="75" w:left="150"/>
        <w:jc w:val="both"/>
        <w:rPr>
          <w:rFonts w:ascii="Arial Unicode MS" w:hAnsi="Arial Unicode MS"/>
        </w:rPr>
      </w:pPr>
    </w:p>
    <w:p w14:paraId="1D52BC35" w14:textId="77777777" w:rsidR="000B02F2" w:rsidRPr="00C1655B" w:rsidRDefault="000B02F2" w:rsidP="000B02F2">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BE48EA">
        <w:rPr>
          <w:rStyle w:val="a3"/>
          <w:rFonts w:ascii="Arial Unicode MS" w:hAnsi="Arial Unicode MS" w:hint="eastAsia"/>
          <w:b/>
          <w:sz w:val="18"/>
          <w:u w:val="none"/>
        </w:rPr>
        <w:t>〉〉</w:t>
      </w:r>
    </w:p>
    <w:p w14:paraId="0A0AF408" w14:textId="1A965134" w:rsidR="000B02F2" w:rsidRPr="000540E7" w:rsidRDefault="000B02F2" w:rsidP="000B02F2">
      <w:pPr>
        <w:ind w:leftChars="71" w:left="142"/>
        <w:jc w:val="both"/>
        <w:rPr>
          <w:rFonts w:ascii="Arial Unicode MS" w:hAnsi="Arial Unicode MS"/>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3" w:history="1">
        <w:r w:rsidRPr="00AD7A96">
          <w:rPr>
            <w:rStyle w:val="a3"/>
            <w:rFonts w:ascii="Arial Unicode MS" w:hAnsi="Arial Unicode MS"/>
            <w:sz w:val="18"/>
            <w:szCs w:val="20"/>
          </w:rPr>
          <w:t>告知</w:t>
        </w:r>
      </w:hyperlink>
      <w:r w:rsidRPr="003D460F">
        <w:rPr>
          <w:rFonts w:hint="eastAsia"/>
          <w:color w:val="5F5F5F"/>
          <w:sz w:val="18"/>
          <w:szCs w:val="20"/>
        </w:rPr>
        <w:t>，謝謝！</w:t>
      </w:r>
    </w:p>
    <w:p w14:paraId="614081EA" w14:textId="77777777" w:rsidR="00201E46" w:rsidRPr="000B02F2" w:rsidRDefault="00201E46" w:rsidP="000B02F2">
      <w:pPr>
        <w:ind w:leftChars="50" w:left="100"/>
        <w:jc w:val="both"/>
        <w:rPr>
          <w:rFonts w:ascii="Arial Unicode MS" w:hAnsi="Arial Unicode MS"/>
        </w:rPr>
      </w:pPr>
    </w:p>
    <w:sectPr w:rsidR="00201E46" w:rsidRPr="000B02F2">
      <w:footerReference w:type="even" r:id="rId14"/>
      <w:footerReference w:type="default" r:id="rId1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89F61" w14:textId="77777777" w:rsidR="00C06A46" w:rsidRDefault="00C06A46">
      <w:r>
        <w:separator/>
      </w:r>
    </w:p>
  </w:endnote>
  <w:endnote w:type="continuationSeparator" w:id="0">
    <w:p w14:paraId="091F2817" w14:textId="77777777" w:rsidR="00C06A46" w:rsidRDefault="00C0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2307D"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70B1369" w14:textId="77777777" w:rsidR="00626027" w:rsidRDefault="006260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81975"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4471F">
      <w:rPr>
        <w:rStyle w:val="a7"/>
        <w:noProof/>
      </w:rPr>
      <w:t>1</w:t>
    </w:r>
    <w:r>
      <w:rPr>
        <w:rStyle w:val="a7"/>
      </w:rPr>
      <w:fldChar w:fldCharType="end"/>
    </w:r>
  </w:p>
  <w:p w14:paraId="38958C2C" w14:textId="77777777" w:rsidR="00626027" w:rsidRPr="000B02F2" w:rsidRDefault="000B02F2" w:rsidP="001635EA">
    <w:pPr>
      <w:pStyle w:val="a6"/>
      <w:ind w:right="360"/>
      <w:jc w:val="right"/>
      <w:rPr>
        <w:rFonts w:ascii="Arial Unicode MS" w:hAnsi="Arial Unicode MS"/>
        <w:sz w:val="18"/>
      </w:rPr>
    </w:pPr>
    <w:r w:rsidRPr="000B02F2">
      <w:rPr>
        <w:rFonts w:ascii="Arial Unicode MS" w:hAnsi="Arial Unicode MS"/>
        <w:sz w:val="18"/>
        <w:szCs w:val="18"/>
      </w:rPr>
      <w:t>〈〈</w:t>
    </w:r>
    <w:r w:rsidR="00A25605" w:rsidRPr="000B02F2">
      <w:rPr>
        <w:rFonts w:hint="eastAsia"/>
        <w:sz w:val="18"/>
      </w:rPr>
      <w:t>中華人民共和國領海及毗連區法</w:t>
    </w:r>
    <w:r w:rsidRPr="000B02F2">
      <w:rPr>
        <w:rFonts w:ascii="Arial Unicode MS" w:hAnsi="Arial Unicode MS"/>
        <w:sz w:val="18"/>
        <w:szCs w:val="18"/>
      </w:rPr>
      <w:t>〉〉</w:t>
    </w:r>
    <w:r w:rsidR="001635EA" w:rsidRPr="000B02F2">
      <w:rPr>
        <w:rFonts w:ascii="Arial Unicode MS" w:hAnsi="Arial Unicode MS"/>
        <w:sz w:val="18"/>
        <w:szCs w:val="18"/>
      </w:rPr>
      <w:t>S-link</w:t>
    </w:r>
    <w:r w:rsidR="001635EA" w:rsidRPr="000B02F2">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3189A" w14:textId="77777777" w:rsidR="00C06A46" w:rsidRDefault="00C06A46">
      <w:r>
        <w:separator/>
      </w:r>
    </w:p>
  </w:footnote>
  <w:footnote w:type="continuationSeparator" w:id="0">
    <w:p w14:paraId="4AA6F99A" w14:textId="77777777" w:rsidR="00C06A46" w:rsidRDefault="00C06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1E46"/>
    <w:rsid w:val="0005486F"/>
    <w:rsid w:val="0009697B"/>
    <w:rsid w:val="000B02F2"/>
    <w:rsid w:val="000F1F46"/>
    <w:rsid w:val="001635EA"/>
    <w:rsid w:val="00172209"/>
    <w:rsid w:val="00177DCB"/>
    <w:rsid w:val="001974AB"/>
    <w:rsid w:val="00201E46"/>
    <w:rsid w:val="0023765D"/>
    <w:rsid w:val="00273668"/>
    <w:rsid w:val="00296040"/>
    <w:rsid w:val="0030009C"/>
    <w:rsid w:val="00334965"/>
    <w:rsid w:val="003365FD"/>
    <w:rsid w:val="00336DD9"/>
    <w:rsid w:val="00362C6F"/>
    <w:rsid w:val="003906B2"/>
    <w:rsid w:val="003D1419"/>
    <w:rsid w:val="003F13C2"/>
    <w:rsid w:val="003F1567"/>
    <w:rsid w:val="00434439"/>
    <w:rsid w:val="004528B7"/>
    <w:rsid w:val="004B4685"/>
    <w:rsid w:val="00514F72"/>
    <w:rsid w:val="0054572F"/>
    <w:rsid w:val="0057446C"/>
    <w:rsid w:val="005B4CC0"/>
    <w:rsid w:val="005D7873"/>
    <w:rsid w:val="00626027"/>
    <w:rsid w:val="00713FA6"/>
    <w:rsid w:val="00797FAF"/>
    <w:rsid w:val="007B3157"/>
    <w:rsid w:val="007D0916"/>
    <w:rsid w:val="00806947"/>
    <w:rsid w:val="008307F7"/>
    <w:rsid w:val="0083478A"/>
    <w:rsid w:val="00846AEC"/>
    <w:rsid w:val="0087702E"/>
    <w:rsid w:val="008829E0"/>
    <w:rsid w:val="008F7B9F"/>
    <w:rsid w:val="00911C69"/>
    <w:rsid w:val="00952AEC"/>
    <w:rsid w:val="00A101CC"/>
    <w:rsid w:val="00A25605"/>
    <w:rsid w:val="00AB02D1"/>
    <w:rsid w:val="00AC493C"/>
    <w:rsid w:val="00AD7A96"/>
    <w:rsid w:val="00B2293B"/>
    <w:rsid w:val="00B90155"/>
    <w:rsid w:val="00BA702B"/>
    <w:rsid w:val="00BA7B85"/>
    <w:rsid w:val="00BC7BDD"/>
    <w:rsid w:val="00C06A46"/>
    <w:rsid w:val="00C2437D"/>
    <w:rsid w:val="00D44AB2"/>
    <w:rsid w:val="00D54DAF"/>
    <w:rsid w:val="00DC51B7"/>
    <w:rsid w:val="00E358E4"/>
    <w:rsid w:val="00E9022C"/>
    <w:rsid w:val="00EE6475"/>
    <w:rsid w:val="00EF293B"/>
    <w:rsid w:val="00F4471F"/>
    <w:rsid w:val="00F66BA3"/>
    <w:rsid w:val="00F86C8B"/>
    <w:rsid w:val="00F93722"/>
    <w:rsid w:val="00F96907"/>
    <w:rsid w:val="00FD48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555654"/>
  <w15:docId w15:val="{02326F02-A1C6-4992-BF5B-D700BB84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FD48E2"/>
    <w:pPr>
      <w:keepNext/>
      <w:adjustRightInd w:val="0"/>
      <w:snapToGrid w:val="0"/>
      <w:spacing w:before="100" w:after="100"/>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FD48E2"/>
    <w:rPr>
      <w:rFonts w:ascii="Arial Unicode MS" w:hAnsi="Arial Unicode MS" w:cs="Arial Unicode MS"/>
      <w:b/>
      <w:bCs/>
      <w:color w:val="990000"/>
      <w:kern w:val="2"/>
      <w:szCs w:val="48"/>
    </w:rPr>
  </w:style>
  <w:style w:type="paragraph" w:styleId="aa">
    <w:name w:val="Balloon Text"/>
    <w:basedOn w:val="a"/>
    <w:link w:val="ab"/>
    <w:rsid w:val="00A25605"/>
    <w:rPr>
      <w:rFonts w:asciiTheme="majorHAnsi" w:eastAsiaTheme="majorEastAsia" w:hAnsiTheme="majorHAnsi" w:cstheme="majorBidi"/>
      <w:sz w:val="18"/>
      <w:szCs w:val="18"/>
    </w:rPr>
  </w:style>
  <w:style w:type="character" w:customStyle="1" w:styleId="ab">
    <w:name w:val="註解方塊文字 字元"/>
    <w:basedOn w:val="a0"/>
    <w:link w:val="aa"/>
    <w:rsid w:val="00A25605"/>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952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03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laws.net/update.htm" TargetMode="External"/><Relationship Id="rId13" Type="http://schemas.openxmlformats.org/officeDocument/2006/relationships/hyperlink" Target="https://www.6laws.net/comment.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6laws.net/6law/law-gb/&#20013;&#33775;&#20154;&#27665;&#20849;&#21644;&#22283;&#38936;&#28023;&#21450;&#27607;&#36899;&#21312;&#27861;.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22823;&#38520;&#27861;&#35215;&#32034;&#24341;.doc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S-link&#38651;&#23376;&#20845;&#27861;&#32317;&#32034;&#24341;.docx" TargetMode="External"/><Relationship Id="rId4" Type="http://schemas.openxmlformats.org/officeDocument/2006/relationships/webSettings" Target="webSettings.xml"/><Relationship Id="rId9" Type="http://schemas.openxmlformats.org/officeDocument/2006/relationships/hyperlink" Target="http://www.facebook.com/anita6la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中華人民共和國領海及毗連區法</dc:title>
  <dc:creator>S-link 電子六法-黃婉玲</dc:creator>
  <cp:lastModifiedBy>黃婉玲 S-link電子六法</cp:lastModifiedBy>
  <cp:revision>14</cp:revision>
  <dcterms:created xsi:type="dcterms:W3CDTF">2017-07-13T08:10:00Z</dcterms:created>
  <dcterms:modified xsi:type="dcterms:W3CDTF">2019-08-18T07:13:00Z</dcterms:modified>
</cp:coreProperties>
</file>