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DA06" w14:textId="22970F1E" w:rsidR="00AB02D1" w:rsidRPr="008F5DB4" w:rsidRDefault="00A73C84" w:rsidP="005D7873">
      <w:pPr>
        <w:adjustRightInd w:val="0"/>
        <w:snapToGrid w:val="0"/>
        <w:ind w:rightChars="8" w:right="16"/>
        <w:jc w:val="right"/>
        <w:rPr>
          <w:rFonts w:ascii="微軟正黑體" w:eastAsia="微軟正黑體" w:hAnsi="微軟正黑體"/>
        </w:rPr>
      </w:pPr>
      <w:r w:rsidRPr="008F5DB4">
        <w:rPr>
          <w:rFonts w:ascii="微軟正黑體" w:eastAsia="微軟正黑體" w:hAnsi="微軟正黑體"/>
          <w:noProof/>
          <w:color w:val="5F5F5F"/>
          <w:sz w:val="18"/>
          <w:szCs w:val="20"/>
          <w:lang w:val="zh-TW"/>
        </w:rPr>
        <w:drawing>
          <wp:inline distT="0" distB="0" distL="0" distR="0" wp14:anchorId="2D153E1E" wp14:editId="22FCDF6A">
            <wp:extent cx="415925" cy="415925"/>
            <wp:effectExtent l="0" t="0" r="3175" b="3175"/>
            <wp:docPr id="3" name="圖片 3" descr="一張含有 美工圖案 的圖片&#10;&#10;自動產生的描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美工圖案 的圖片&#10;&#10;自動產生的描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9E50E" w14:textId="76EBC55E" w:rsidR="00AB02D1" w:rsidRPr="008F5DB4" w:rsidRDefault="00AB02D1" w:rsidP="005D7873">
      <w:pPr>
        <w:tabs>
          <w:tab w:val="left" w:pos="9498"/>
        </w:tabs>
        <w:adjustRightInd w:val="0"/>
        <w:snapToGrid w:val="0"/>
        <w:ind w:left="4313" w:rightChars="8" w:right="16" w:hangingChars="2396" w:hanging="4313"/>
        <w:jc w:val="right"/>
        <w:rPr>
          <w:rFonts w:ascii="微軟正黑體" w:eastAsia="微軟正黑體" w:hAnsi="微軟正黑體"/>
          <w:color w:val="7F7F7F"/>
          <w:sz w:val="18"/>
          <w:szCs w:val="20"/>
        </w:rPr>
      </w:pPr>
      <w:bookmarkStart w:id="0" w:name="top"/>
      <w:bookmarkEnd w:id="0"/>
      <w:r w:rsidRPr="008F5DB4">
        <w:rPr>
          <w:rFonts w:ascii="微軟正黑體" w:eastAsia="微軟正黑體" w:hAnsi="微軟正黑體" w:hint="eastAsia"/>
          <w:color w:val="5F5F5F"/>
          <w:sz w:val="18"/>
          <w:szCs w:val="20"/>
          <w:lang w:val="zh-TW"/>
        </w:rPr>
        <w:t>【</w:t>
      </w:r>
      <w:hyperlink r:id="rId9" w:tgtFrame="_blank" w:history="1">
        <w:r w:rsidRPr="008F5DB4">
          <w:rPr>
            <w:rStyle w:val="a3"/>
            <w:rFonts w:ascii="微軟正黑體" w:eastAsia="微軟正黑體" w:hAnsi="微軟正黑體"/>
            <w:color w:val="5F5F5F"/>
            <w:sz w:val="18"/>
            <w:szCs w:val="20"/>
          </w:rPr>
          <w:t>更新</w:t>
        </w:r>
      </w:hyperlink>
      <w:r w:rsidRPr="008F5DB4">
        <w:rPr>
          <w:rFonts w:ascii="微軟正黑體" w:eastAsia="微軟正黑體" w:hAnsi="微軟正黑體" w:hint="eastAsia"/>
          <w:color w:val="7F7F7F"/>
          <w:sz w:val="18"/>
          <w:szCs w:val="20"/>
          <w:lang w:val="zh-TW"/>
        </w:rPr>
        <w:t>】</w:t>
      </w:r>
      <w:bookmarkStart w:id="1" w:name="_Hlk98861106"/>
      <w:r w:rsidR="00CC4048" w:rsidRPr="005F2503">
        <w:rPr>
          <w:rFonts w:ascii="Segoe UI Emoji" w:eastAsia="微軟正黑體" w:hAnsi="Segoe UI Emoji" w:cs="Segoe UI Emoji"/>
          <w:kern w:val="0"/>
          <w:sz w:val="18"/>
        </w:rPr>
        <w:t>⏰</w:t>
      </w:r>
      <w:bookmarkEnd w:id="1"/>
      <w:r w:rsidR="00B944B9" w:rsidRPr="00CC4048">
        <w:rPr>
          <w:sz w:val="18"/>
        </w:rPr>
        <w:t>2022/4/3</w:t>
      </w:r>
      <w:r w:rsidRPr="008F5DB4">
        <w:rPr>
          <w:rFonts w:ascii="微軟正黑體" w:eastAsia="微軟正黑體" w:hAnsi="微軟正黑體" w:hint="eastAsia"/>
          <w:color w:val="7F7F7F"/>
          <w:sz w:val="18"/>
          <w:szCs w:val="20"/>
          <w:lang w:val="zh-TW"/>
        </w:rPr>
        <w:t>【</w:t>
      </w:r>
      <w:r w:rsidRPr="008F5DB4">
        <w:rPr>
          <w:rFonts w:ascii="微軟正黑體" w:eastAsia="微軟正黑體" w:hAnsi="微軟正黑體" w:hint="eastAsia"/>
          <w:color w:val="7F7F7F"/>
          <w:sz w:val="18"/>
          <w:szCs w:val="20"/>
        </w:rPr>
        <w:t>編輯著作權者</w:t>
      </w:r>
      <w:r w:rsidRPr="008F5DB4">
        <w:rPr>
          <w:rFonts w:ascii="微軟正黑體" w:eastAsia="微軟正黑體" w:hAnsi="微軟正黑體" w:hint="eastAsia"/>
          <w:color w:val="7F7F7F"/>
          <w:sz w:val="18"/>
          <w:szCs w:val="20"/>
          <w:lang w:val="zh-TW"/>
        </w:rPr>
        <w:t>】</w:t>
      </w:r>
      <w:hyperlink r:id="rId10" w:tgtFrame="_blank" w:history="1">
        <w:r w:rsidRPr="008F5DB4">
          <w:rPr>
            <w:rStyle w:val="a3"/>
            <w:rFonts w:ascii="微軟正黑體" w:eastAsia="微軟正黑體" w:hAnsi="微軟正黑體"/>
            <w:sz w:val="18"/>
            <w:szCs w:val="20"/>
          </w:rPr>
          <w:t>黃婉玲</w:t>
        </w:r>
      </w:hyperlink>
    </w:p>
    <w:p w14:paraId="2FE531DD" w14:textId="2D41C14C" w:rsidR="00AB02D1" w:rsidRPr="008F5DB4" w:rsidRDefault="00540B82" w:rsidP="00AB02D1">
      <w:pPr>
        <w:adjustRightInd w:val="0"/>
        <w:snapToGrid w:val="0"/>
        <w:jc w:val="right"/>
        <w:rPr>
          <w:rFonts w:ascii="微軟正黑體" w:eastAsia="微軟正黑體" w:hAnsi="微軟正黑體"/>
          <w:color w:val="808000"/>
          <w:sz w:val="18"/>
          <w:szCs w:val="20"/>
        </w:rPr>
      </w:pPr>
      <w:bookmarkStart w:id="2" w:name="_Hlk73037927"/>
      <w:r w:rsidRPr="005F2503">
        <w:rPr>
          <w:rFonts w:ascii="微軟正黑體" w:eastAsia="微軟正黑體" w:hAnsi="微軟正黑體" w:hint="eastAsia"/>
          <w:color w:val="5F5F5F"/>
          <w:sz w:val="18"/>
          <w:szCs w:val="20"/>
        </w:rPr>
        <w:t>（建議使用工具列--〉檢視--〉文件引導模式</w:t>
      </w:r>
      <w:bookmarkStart w:id="3" w:name="_Hlk98860402"/>
      <w:r w:rsidRPr="005F2503">
        <w:rPr>
          <w:rFonts w:ascii="微軟正黑體" w:eastAsia="微軟正黑體" w:hAnsi="微軟正黑體" w:hint="eastAsia"/>
          <w:color w:val="5F5F5F"/>
          <w:sz w:val="18"/>
          <w:szCs w:val="20"/>
        </w:rPr>
        <w:t>/</w:t>
      </w:r>
      <w:hyperlink r:id="rId11" w:history="1">
        <w:r w:rsidRPr="00540B82">
          <w:rPr>
            <w:rStyle w:val="a3"/>
            <w:rFonts w:ascii="微軟正黑體" w:eastAsia="微軟正黑體" w:hAnsi="微軟正黑體" w:hint="eastAsia"/>
            <w:color w:val="5F5F5F"/>
            <w:sz w:val="18"/>
            <w:szCs w:val="20"/>
            <w:u w:val="none"/>
          </w:rPr>
          <w:t>功能窗</w:t>
        </w:r>
        <w:r w:rsidRPr="00540B82">
          <w:rPr>
            <w:rStyle w:val="a3"/>
            <w:rFonts w:ascii="微軟正黑體" w:eastAsia="微軟正黑體" w:hAnsi="微軟正黑體" w:hint="eastAsia"/>
            <w:color w:val="5F5F5F"/>
            <w:sz w:val="18"/>
            <w:szCs w:val="20"/>
            <w:u w:val="none"/>
          </w:rPr>
          <w:t>格</w:t>
        </w:r>
      </w:hyperlink>
      <w:bookmarkEnd w:id="3"/>
      <w:r w:rsidRPr="005F2503">
        <w:rPr>
          <w:rFonts w:ascii="微軟正黑體" w:eastAsia="微軟正黑體" w:hAnsi="微軟正黑體" w:hint="eastAsia"/>
          <w:color w:val="5F5F5F"/>
          <w:sz w:val="18"/>
          <w:szCs w:val="20"/>
        </w:rPr>
        <w:t>）</w:t>
      </w:r>
      <w:bookmarkEnd w:id="2"/>
    </w:p>
    <w:p w14:paraId="06B6B4B8" w14:textId="588661A9" w:rsidR="00201E46" w:rsidRPr="008F5DB4" w:rsidRDefault="00CC4048" w:rsidP="00D44AB2">
      <w:pPr>
        <w:jc w:val="right"/>
        <w:rPr>
          <w:rFonts w:ascii="微軟正黑體" w:eastAsia="微軟正黑體" w:hAnsi="微軟正黑體"/>
          <w:b/>
          <w:color w:val="5F5F5F"/>
          <w:sz w:val="18"/>
        </w:rPr>
      </w:pPr>
      <w:hyperlink r:id="rId12" w:history="1">
        <w:r w:rsidR="00D44AB2" w:rsidRPr="008F5DB4">
          <w:rPr>
            <w:rFonts w:ascii="微軟正黑體" w:eastAsia="微軟正黑體" w:hAnsi="微軟正黑體" w:hint="eastAsia"/>
            <w:color w:val="808000"/>
            <w:sz w:val="18"/>
            <w:szCs w:val="20"/>
            <w:u w:val="single"/>
          </w:rPr>
          <w:t>S-link總索引</w:t>
        </w:r>
      </w:hyperlink>
      <w:r w:rsidR="00D918A6" w:rsidRPr="008F5DB4">
        <w:rPr>
          <w:rFonts w:ascii="微軟正黑體" w:eastAsia="微軟正黑體" w:hAnsi="微軟正黑體" w:hint="eastAsia"/>
          <w:b/>
          <w:color w:val="808000"/>
          <w:sz w:val="18"/>
          <w:szCs w:val="20"/>
        </w:rPr>
        <w:t>〉〉</w:t>
      </w:r>
      <w:hyperlink r:id="rId13" w:anchor="全國人民代表大會常務委員會關於修改《中華人民共和國招標投標法》、《中華人民共和國計量法》的決定" w:history="1">
        <w:r w:rsidR="0017570E">
          <w:rPr>
            <w:rStyle w:val="a3"/>
            <w:rFonts w:ascii="微軟正黑體" w:eastAsia="微軟正黑體" w:hAnsi="微軟正黑體" w:hint="eastAsia"/>
            <w:sz w:val="18"/>
          </w:rPr>
          <w:t>S-link</w:t>
        </w:r>
        <w:r w:rsidR="0017570E">
          <w:rPr>
            <w:rStyle w:val="a3"/>
            <w:rFonts w:ascii="微軟正黑體" w:eastAsia="微軟正黑體" w:hAnsi="微軟正黑體" w:hint="eastAsia"/>
            <w:sz w:val="18"/>
          </w:rPr>
          <w:t>中</w:t>
        </w:r>
        <w:r w:rsidR="0017570E">
          <w:rPr>
            <w:rStyle w:val="a3"/>
            <w:rFonts w:ascii="微軟正黑體" w:eastAsia="微軟正黑體" w:hAnsi="微軟正黑體" w:hint="eastAsia"/>
            <w:sz w:val="18"/>
          </w:rPr>
          <w:t>國法律法規索引</w:t>
        </w:r>
      </w:hyperlink>
      <w:r w:rsidR="00D918A6" w:rsidRPr="008F5DB4">
        <w:rPr>
          <w:rFonts w:ascii="微軟正黑體" w:eastAsia="微軟正黑體" w:hAnsi="微軟正黑體" w:hint="eastAsia"/>
          <w:b/>
          <w:color w:val="5F5F5F"/>
          <w:sz w:val="18"/>
        </w:rPr>
        <w:t>〉〉</w:t>
      </w:r>
      <w:hyperlink r:id="rId14" w:tgtFrame="_blank" w:history="1">
        <w:r w:rsidR="00D44AB2" w:rsidRPr="008F5DB4">
          <w:rPr>
            <w:rStyle w:val="a3"/>
            <w:rFonts w:ascii="微軟正黑體" w:eastAsia="微軟正黑體" w:hAnsi="微軟正黑體" w:hint="eastAsia"/>
            <w:sz w:val="18"/>
          </w:rPr>
          <w:t>線上網頁版</w:t>
        </w:r>
      </w:hyperlink>
      <w:r w:rsidR="00D918A6" w:rsidRPr="008F5DB4">
        <w:rPr>
          <w:rFonts w:ascii="微軟正黑體" w:eastAsia="微軟正黑體" w:hAnsi="微軟正黑體" w:hint="eastAsia"/>
          <w:b/>
          <w:color w:val="5F5F5F"/>
          <w:sz w:val="18"/>
        </w:rPr>
        <w:t>〉〉</w:t>
      </w:r>
    </w:p>
    <w:p w14:paraId="2A3FAA9F" w14:textId="77777777" w:rsidR="00454A6B" w:rsidRPr="008F5DB4" w:rsidRDefault="00454A6B" w:rsidP="00D44AB2">
      <w:pPr>
        <w:jc w:val="right"/>
        <w:rPr>
          <w:rFonts w:ascii="微軟正黑體" w:eastAsia="微軟正黑體" w:hAnsi="微軟正黑體"/>
          <w:color w:val="000000"/>
          <w:u w:val="single"/>
        </w:rPr>
      </w:pPr>
    </w:p>
    <w:p w14:paraId="67815CF1" w14:textId="121BAAA2" w:rsidR="00172209" w:rsidRPr="008F5DB4" w:rsidRDefault="00201E46" w:rsidP="00052A15">
      <w:pPr>
        <w:tabs>
          <w:tab w:val="num" w:pos="960"/>
        </w:tabs>
        <w:adjustRightInd w:val="0"/>
        <w:snapToGrid w:val="0"/>
        <w:spacing w:afterLines="50" w:after="180"/>
        <w:ind w:left="198" w:hanging="198"/>
        <w:jc w:val="both"/>
        <w:rPr>
          <w:rFonts w:ascii="微軟正黑體" w:eastAsia="微軟正黑體" w:hAnsi="微軟正黑體"/>
          <w:b/>
          <w:bCs/>
          <w:sz w:val="16"/>
          <w:szCs w:val="20"/>
        </w:rPr>
      </w:pPr>
      <w:r w:rsidRPr="008F5DB4">
        <w:rPr>
          <w:rFonts w:ascii="微軟正黑體" w:eastAsia="微軟正黑體" w:hAnsi="微軟正黑體"/>
          <w:b/>
          <w:bCs/>
          <w:color w:val="990000"/>
          <w:szCs w:val="20"/>
        </w:rPr>
        <w:t>【</w:t>
      </w:r>
      <w:r w:rsidR="003569D6" w:rsidRPr="008F5DB4">
        <w:rPr>
          <w:rFonts w:ascii="微軟正黑體" w:eastAsia="微軟正黑體" w:hAnsi="微軟正黑體" w:hint="eastAsia"/>
          <w:b/>
          <w:bCs/>
          <w:color w:val="990000"/>
          <w:szCs w:val="20"/>
        </w:rPr>
        <w:t>法律法規</w:t>
      </w:r>
      <w:r w:rsidRPr="008F5DB4">
        <w:rPr>
          <w:rFonts w:ascii="微軟正黑體" w:eastAsia="微軟正黑體" w:hAnsi="微軟正黑體"/>
          <w:b/>
          <w:bCs/>
          <w:color w:val="990000"/>
          <w:szCs w:val="20"/>
        </w:rPr>
        <w:t>】</w:t>
      </w:r>
      <w:r w:rsidR="00E35DAC" w:rsidRPr="008F5DB4">
        <w:rPr>
          <w:rFonts w:ascii="微軟正黑體" w:eastAsia="微軟正黑體" w:hAnsi="微軟正黑體" w:hint="eastAsia"/>
          <w:bCs/>
          <w:kern w:val="0"/>
          <w:sz w:val="2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全國人民代表大會常務委員會關於修改《中華人民共和國招標投標法》、《中華人民共和國計量法》的決定</w:t>
      </w:r>
    </w:p>
    <w:p w14:paraId="68D778D1" w14:textId="77777777" w:rsidR="00201E46" w:rsidRPr="008F5DB4" w:rsidRDefault="00201E46" w:rsidP="00201E46">
      <w:pPr>
        <w:tabs>
          <w:tab w:val="num" w:pos="960"/>
        </w:tabs>
        <w:ind w:left="200" w:hangingChars="100" w:hanging="200"/>
        <w:rPr>
          <w:rFonts w:ascii="微軟正黑體" w:eastAsia="微軟正黑體" w:hAnsi="微軟正黑體"/>
          <w:color w:val="333333"/>
        </w:rPr>
      </w:pPr>
      <w:r w:rsidRPr="008F5DB4">
        <w:rPr>
          <w:rFonts w:ascii="微軟正黑體" w:eastAsia="微軟正黑體" w:hAnsi="微軟正黑體"/>
          <w:b/>
          <w:color w:val="990000"/>
        </w:rPr>
        <w:t>【</w:t>
      </w:r>
      <w:r w:rsidRPr="008F5DB4">
        <w:rPr>
          <w:rFonts w:ascii="微軟正黑體" w:eastAsia="微軟正黑體" w:hAnsi="微軟正黑體" w:hint="eastAsia"/>
          <w:b/>
          <w:color w:val="990000"/>
        </w:rPr>
        <w:t>發布單位</w:t>
      </w:r>
      <w:r w:rsidRPr="008F5DB4">
        <w:rPr>
          <w:rFonts w:ascii="微軟正黑體" w:eastAsia="微軟正黑體" w:hAnsi="微軟正黑體"/>
          <w:b/>
          <w:color w:val="990000"/>
        </w:rPr>
        <w:t>】</w:t>
      </w:r>
      <w:r w:rsidR="0087702E" w:rsidRPr="008F5DB4">
        <w:rPr>
          <w:rFonts w:ascii="微軟正黑體" w:eastAsia="微軟正黑體" w:hAnsi="微軟正黑體" w:hint="eastAsia"/>
          <w:szCs w:val="20"/>
        </w:rPr>
        <w:t>全國人民代表大會常務委員會</w:t>
      </w:r>
    </w:p>
    <w:p w14:paraId="2D42E004" w14:textId="7B2DB88B" w:rsidR="00201E46" w:rsidRPr="008F5DB4" w:rsidRDefault="00201E46">
      <w:pPr>
        <w:tabs>
          <w:tab w:val="num" w:pos="960"/>
        </w:tabs>
        <w:rPr>
          <w:rFonts w:ascii="微軟正黑體" w:eastAsia="微軟正黑體" w:hAnsi="微軟正黑體"/>
          <w:bCs/>
          <w:color w:val="333333"/>
          <w:szCs w:val="20"/>
        </w:rPr>
      </w:pPr>
      <w:r w:rsidRPr="008F5DB4">
        <w:rPr>
          <w:rFonts w:ascii="微軟正黑體" w:eastAsia="微軟正黑體" w:hAnsi="微軟正黑體"/>
          <w:b/>
          <w:color w:val="990000"/>
          <w:szCs w:val="20"/>
        </w:rPr>
        <w:t>【</w:t>
      </w:r>
      <w:r w:rsidR="003569D6" w:rsidRPr="008F5DB4">
        <w:rPr>
          <w:rFonts w:ascii="微軟正黑體" w:eastAsia="微軟正黑體" w:hAnsi="微軟正黑體" w:hint="eastAsia"/>
          <w:b/>
          <w:color w:val="990000"/>
          <w:szCs w:val="20"/>
        </w:rPr>
        <w:t>發布/修正</w:t>
      </w:r>
      <w:r w:rsidRPr="008F5DB4">
        <w:rPr>
          <w:rFonts w:ascii="微軟正黑體" w:eastAsia="微軟正黑體" w:hAnsi="微軟正黑體"/>
          <w:b/>
          <w:color w:val="990000"/>
          <w:szCs w:val="20"/>
        </w:rPr>
        <w:t>】</w:t>
      </w:r>
      <w:r w:rsidR="00052A15" w:rsidRPr="008F5DB4">
        <w:rPr>
          <w:rFonts w:ascii="微軟正黑體" w:eastAsia="微軟正黑體" w:hAnsi="微軟正黑體" w:hint="eastAsia"/>
          <w:bCs/>
          <w:color w:val="000000"/>
          <w:szCs w:val="20"/>
        </w:rPr>
        <w:t>2017年12月27日</w:t>
      </w:r>
    </w:p>
    <w:p w14:paraId="7998B71E" w14:textId="77777777" w:rsidR="00201E46" w:rsidRPr="008F5DB4" w:rsidRDefault="00201E46">
      <w:pPr>
        <w:ind w:left="1400" w:hangingChars="700" w:hanging="1400"/>
        <w:rPr>
          <w:rFonts w:ascii="微軟正黑體" w:eastAsia="微軟正黑體" w:hAnsi="微軟正黑體"/>
          <w:szCs w:val="20"/>
        </w:rPr>
      </w:pPr>
      <w:r w:rsidRPr="008F5DB4">
        <w:rPr>
          <w:rFonts w:ascii="微軟正黑體" w:eastAsia="微軟正黑體" w:hAnsi="微軟正黑體"/>
          <w:b/>
          <w:color w:val="990000"/>
          <w:szCs w:val="20"/>
        </w:rPr>
        <w:t>【</w:t>
      </w:r>
      <w:r w:rsidRPr="008F5DB4">
        <w:rPr>
          <w:rFonts w:ascii="微軟正黑體" w:eastAsia="微軟正黑體" w:hAnsi="微軟正黑體" w:hint="eastAsia"/>
          <w:b/>
          <w:color w:val="990000"/>
          <w:szCs w:val="20"/>
        </w:rPr>
        <w:t>實施日期</w:t>
      </w:r>
      <w:r w:rsidRPr="008F5DB4">
        <w:rPr>
          <w:rFonts w:ascii="微軟正黑體" w:eastAsia="微軟正黑體" w:hAnsi="微軟正黑體"/>
          <w:b/>
          <w:color w:val="990000"/>
          <w:szCs w:val="20"/>
        </w:rPr>
        <w:t>】</w:t>
      </w:r>
      <w:r w:rsidR="00052A15" w:rsidRPr="008F5DB4">
        <w:rPr>
          <w:rFonts w:ascii="微軟正黑體" w:eastAsia="微軟正黑體" w:hAnsi="微軟正黑體" w:hint="eastAsia"/>
          <w:bCs/>
          <w:color w:val="000000"/>
          <w:szCs w:val="20"/>
        </w:rPr>
        <w:t>2017年12月27日</w:t>
      </w:r>
    </w:p>
    <w:p w14:paraId="72B5E68B" w14:textId="77777777" w:rsidR="00177DCB" w:rsidRPr="008F5DB4" w:rsidRDefault="00177DCB" w:rsidP="00177DCB">
      <w:pPr>
        <w:ind w:left="1400" w:hangingChars="700" w:hanging="1400"/>
        <w:rPr>
          <w:rFonts w:ascii="微軟正黑體" w:eastAsia="微軟正黑體" w:hAnsi="微軟正黑體"/>
          <w:color w:val="333333"/>
        </w:rPr>
      </w:pPr>
    </w:p>
    <w:p w14:paraId="475A4B05" w14:textId="77777777" w:rsidR="001974AB" w:rsidRPr="008F5DB4" w:rsidRDefault="00201E46" w:rsidP="00052A15">
      <w:pPr>
        <w:pStyle w:val="1"/>
        <w:spacing w:beforeLines="30" w:before="108" w:beforeAutospacing="0" w:afterLines="30" w:after="108" w:afterAutospacing="0"/>
        <w:rPr>
          <w:rFonts w:ascii="微軟正黑體" w:eastAsia="微軟正黑體" w:hAnsi="微軟正黑體"/>
          <w:color w:val="990000"/>
        </w:rPr>
      </w:pPr>
      <w:r w:rsidRPr="008F5DB4">
        <w:rPr>
          <w:rFonts w:ascii="微軟正黑體" w:eastAsia="微軟正黑體" w:hAnsi="微軟正黑體"/>
          <w:color w:val="990000"/>
        </w:rPr>
        <w:t>【</w:t>
      </w:r>
      <w:r w:rsidRPr="008F5DB4">
        <w:rPr>
          <w:rFonts w:ascii="微軟正黑體" w:eastAsia="微軟正黑體" w:hAnsi="微軟正黑體" w:hint="eastAsia"/>
          <w:color w:val="990000"/>
        </w:rPr>
        <w:t>法規沿革</w:t>
      </w:r>
      <w:r w:rsidRPr="008F5DB4">
        <w:rPr>
          <w:rFonts w:ascii="微軟正黑體" w:eastAsia="微軟正黑體" w:hAnsi="微軟正黑體"/>
          <w:color w:val="990000"/>
        </w:rPr>
        <w:t>】</w:t>
      </w:r>
    </w:p>
    <w:p w14:paraId="6DFCE7A3" w14:textId="77777777" w:rsidR="00201E46" w:rsidRPr="008F5DB4" w:rsidRDefault="003F1567" w:rsidP="005D7873">
      <w:pPr>
        <w:ind w:leftChars="59" w:left="118"/>
        <w:rPr>
          <w:rFonts w:ascii="微軟正黑體" w:eastAsia="微軟正黑體" w:hAnsi="微軟正黑體"/>
          <w:bCs/>
          <w:color w:val="000000"/>
          <w:sz w:val="18"/>
        </w:rPr>
      </w:pPr>
      <w:r w:rsidRPr="008F5DB4">
        <w:rPr>
          <w:rFonts w:ascii="微軟正黑體" w:eastAsia="微軟正黑體" w:hAnsi="微軟正黑體" w:hint="eastAsia"/>
          <w:bCs/>
          <w:color w:val="000000"/>
          <w:sz w:val="18"/>
        </w:rPr>
        <w:t>‧</w:t>
      </w:r>
      <w:r w:rsidR="00052A15" w:rsidRPr="008F5DB4">
        <w:rPr>
          <w:rFonts w:ascii="微軟正黑體" w:eastAsia="微軟正黑體" w:hAnsi="微軟正黑體" w:hint="eastAsia"/>
          <w:bCs/>
          <w:color w:val="000000"/>
          <w:sz w:val="18"/>
        </w:rPr>
        <w:t>2017年12月27日第十二屆全國人民代表大會常務委員會第三十一次會議通過</w:t>
      </w:r>
    </w:p>
    <w:p w14:paraId="1A4F5CD7" w14:textId="77777777" w:rsidR="003F1567" w:rsidRPr="008F5DB4" w:rsidRDefault="003F1567" w:rsidP="005D7873">
      <w:pPr>
        <w:ind w:leftChars="118" w:left="300" w:hangingChars="32" w:hanging="64"/>
        <w:rPr>
          <w:rFonts w:ascii="微軟正黑體" w:eastAsia="微軟正黑體" w:hAnsi="微軟正黑體"/>
          <w:b/>
          <w:bCs/>
          <w:color w:val="800000"/>
          <w:szCs w:val="27"/>
        </w:rPr>
      </w:pPr>
    </w:p>
    <w:p w14:paraId="71A96B0F" w14:textId="77777777" w:rsidR="00201E46" w:rsidRPr="008F5DB4" w:rsidRDefault="00201E46" w:rsidP="00052A15">
      <w:pPr>
        <w:pStyle w:val="1"/>
        <w:spacing w:beforeLines="30" w:before="108" w:beforeAutospacing="0" w:afterLines="30" w:after="108" w:afterAutospacing="0"/>
        <w:rPr>
          <w:rFonts w:ascii="微軟正黑體" w:eastAsia="微軟正黑體" w:hAnsi="微軟正黑體"/>
          <w:color w:val="990000"/>
          <w:szCs w:val="27"/>
          <w:lang w:val="zh-TW"/>
        </w:rPr>
      </w:pPr>
      <w:bookmarkStart w:id="4" w:name="a章節索引"/>
      <w:bookmarkEnd w:id="4"/>
      <w:r w:rsidRPr="008F5DB4">
        <w:rPr>
          <w:rFonts w:ascii="微軟正黑體" w:eastAsia="微軟正黑體" w:hAnsi="微軟正黑體"/>
          <w:color w:val="990000"/>
        </w:rPr>
        <w:t>【</w:t>
      </w:r>
      <w:r w:rsidRPr="008F5DB4">
        <w:rPr>
          <w:rFonts w:ascii="微軟正黑體" w:eastAsia="微軟正黑體" w:hAnsi="微軟正黑體" w:hint="eastAsia"/>
          <w:color w:val="990000"/>
        </w:rPr>
        <w:t>法規內容</w:t>
      </w:r>
      <w:r w:rsidRPr="008F5DB4">
        <w:rPr>
          <w:rFonts w:ascii="微軟正黑體" w:eastAsia="微軟正黑體" w:hAnsi="微軟正黑體"/>
          <w:color w:val="990000"/>
        </w:rPr>
        <w:t>】</w:t>
      </w:r>
    </w:p>
    <w:p w14:paraId="0B7D1F2E" w14:textId="77777777" w:rsidR="00052A15" w:rsidRPr="008F5DB4" w:rsidRDefault="00052A15" w:rsidP="00052A15">
      <w:pPr>
        <w:ind w:leftChars="75" w:left="150"/>
        <w:jc w:val="both"/>
        <w:rPr>
          <w:rFonts w:ascii="微軟正黑體" w:eastAsia="微軟正黑體" w:hAnsi="微軟正黑體"/>
        </w:rPr>
      </w:pPr>
      <w:bookmarkStart w:id="5" w:name="_第一章__總"/>
      <w:bookmarkEnd w:id="5"/>
      <w:r w:rsidRPr="008F5DB4">
        <w:rPr>
          <w:rFonts w:ascii="微軟正黑體" w:eastAsia="微軟正黑體" w:hAnsi="微軟正黑體" w:hint="eastAsia"/>
        </w:rPr>
        <w:t xml:space="preserve">　　第十二屆全國人民代表大會常務委員會第三十一次會議決定：</w:t>
      </w:r>
    </w:p>
    <w:p w14:paraId="5A21DD95" w14:textId="77777777" w:rsidR="000A6A55" w:rsidRPr="008F5DB4" w:rsidRDefault="000A6A55" w:rsidP="00052A15">
      <w:pPr>
        <w:ind w:leftChars="75" w:left="150"/>
        <w:jc w:val="both"/>
        <w:rPr>
          <w:rFonts w:ascii="微軟正黑體" w:eastAsia="微軟正黑體" w:hAnsi="微軟正黑體"/>
        </w:rPr>
      </w:pPr>
    </w:p>
    <w:p w14:paraId="603E8DF8" w14:textId="77777777" w:rsidR="00052A15" w:rsidRPr="008F5DB4" w:rsidRDefault="00052A15" w:rsidP="000A6A55">
      <w:pPr>
        <w:pStyle w:val="2"/>
        <w:spacing w:beforeLines="30" w:before="108" w:beforeAutospacing="0" w:afterLines="30" w:after="108" w:afterAutospacing="0"/>
        <w:rPr>
          <w:rFonts w:ascii="微軟正黑體" w:eastAsia="微軟正黑體" w:hAnsi="微軟正黑體"/>
        </w:rPr>
      </w:pPr>
      <w:bookmarkStart w:id="6" w:name="a1"/>
      <w:bookmarkEnd w:id="6"/>
      <w:r w:rsidRPr="008F5DB4">
        <w:rPr>
          <w:rFonts w:ascii="微軟正黑體" w:eastAsia="微軟正黑體" w:hAnsi="微軟正黑體" w:hint="eastAsia"/>
        </w:rPr>
        <w:t>一、對《</w:t>
      </w:r>
      <w:hyperlink r:id="rId15" w:history="1">
        <w:r w:rsidRPr="008F5DB4">
          <w:rPr>
            <w:rStyle w:val="a3"/>
            <w:rFonts w:ascii="微軟正黑體" w:eastAsia="微軟正黑體" w:hAnsi="微軟正黑體" w:hint="eastAsia"/>
          </w:rPr>
          <w:t>中華人民共和國招標投標法</w:t>
        </w:r>
      </w:hyperlink>
      <w:r w:rsidRPr="008F5DB4">
        <w:rPr>
          <w:rFonts w:ascii="微軟正黑體" w:eastAsia="微軟正黑體" w:hAnsi="微軟正黑體" w:hint="eastAsia"/>
        </w:rPr>
        <w:t>》作出修改</w:t>
      </w:r>
    </w:p>
    <w:p w14:paraId="5AD95210" w14:textId="77777777" w:rsidR="00052A15" w:rsidRPr="008F5DB4" w:rsidRDefault="00052A15" w:rsidP="00052A15">
      <w:pPr>
        <w:ind w:leftChars="75" w:left="150"/>
        <w:jc w:val="both"/>
        <w:rPr>
          <w:rFonts w:ascii="微軟正黑體" w:eastAsia="微軟正黑體" w:hAnsi="微軟正黑體"/>
        </w:rPr>
      </w:pPr>
      <w:r w:rsidRPr="008F5DB4">
        <w:rPr>
          <w:rFonts w:ascii="微軟正黑體" w:eastAsia="微軟正黑體" w:hAnsi="微軟正黑體" w:hint="eastAsia"/>
        </w:rPr>
        <w:t xml:space="preserve">　　（一）刪去第</w:t>
      </w:r>
      <w:hyperlink r:id="rId16" w:anchor="a13" w:history="1">
        <w:r w:rsidRPr="008F5DB4">
          <w:rPr>
            <w:rStyle w:val="a3"/>
            <w:rFonts w:ascii="微軟正黑體" w:eastAsia="微軟正黑體" w:hAnsi="微軟正黑體" w:hint="eastAsia"/>
          </w:rPr>
          <w:t>十三</w:t>
        </w:r>
      </w:hyperlink>
      <w:r w:rsidRPr="008F5DB4">
        <w:rPr>
          <w:rFonts w:ascii="微軟正黑體" w:eastAsia="微軟正黑體" w:hAnsi="微軟正黑體" w:hint="eastAsia"/>
        </w:rPr>
        <w:t>條第二款第三項。</w:t>
      </w:r>
    </w:p>
    <w:p w14:paraId="5E2E0A06" w14:textId="77777777" w:rsidR="00052A15" w:rsidRPr="008F5DB4" w:rsidRDefault="00052A15" w:rsidP="00052A15">
      <w:pPr>
        <w:ind w:leftChars="75" w:left="150"/>
        <w:jc w:val="both"/>
        <w:rPr>
          <w:rFonts w:ascii="微軟正黑體" w:eastAsia="微軟正黑體" w:hAnsi="微軟正黑體"/>
        </w:rPr>
      </w:pPr>
      <w:r w:rsidRPr="008F5DB4">
        <w:rPr>
          <w:rFonts w:ascii="微軟正黑體" w:eastAsia="微軟正黑體" w:hAnsi="微軟正黑體" w:hint="eastAsia"/>
        </w:rPr>
        <w:t xml:space="preserve">　　（二）刪去第</w:t>
      </w:r>
      <w:hyperlink r:id="rId17" w:anchor="a14" w:history="1">
        <w:r w:rsidRPr="008F5DB4">
          <w:rPr>
            <w:rStyle w:val="a3"/>
            <w:rFonts w:ascii="微軟正黑體" w:eastAsia="微軟正黑體" w:hAnsi="微軟正黑體" w:hint="eastAsia"/>
          </w:rPr>
          <w:t>十四</w:t>
        </w:r>
      </w:hyperlink>
      <w:r w:rsidRPr="008F5DB4">
        <w:rPr>
          <w:rFonts w:ascii="微軟正黑體" w:eastAsia="微軟正黑體" w:hAnsi="微軟正黑體" w:hint="eastAsia"/>
        </w:rPr>
        <w:t>條第一款。</w:t>
      </w:r>
    </w:p>
    <w:p w14:paraId="27437CB2" w14:textId="77777777" w:rsidR="00052A15" w:rsidRPr="008F5DB4" w:rsidRDefault="00052A15" w:rsidP="00052A15">
      <w:pPr>
        <w:ind w:leftChars="75" w:left="150"/>
        <w:jc w:val="both"/>
        <w:rPr>
          <w:rFonts w:ascii="微軟正黑體" w:eastAsia="微軟正黑體" w:hAnsi="微軟正黑體"/>
        </w:rPr>
      </w:pPr>
      <w:r w:rsidRPr="008F5DB4">
        <w:rPr>
          <w:rFonts w:ascii="微軟正黑體" w:eastAsia="微軟正黑體" w:hAnsi="微軟正黑體" w:hint="eastAsia"/>
        </w:rPr>
        <w:t xml:space="preserve">　　（三）將第</w:t>
      </w:r>
      <w:hyperlink r:id="rId18" w:anchor="a50" w:history="1">
        <w:r w:rsidRPr="008F5DB4">
          <w:rPr>
            <w:rStyle w:val="a3"/>
            <w:rFonts w:ascii="微軟正黑體" w:eastAsia="微軟正黑體" w:hAnsi="微軟正黑體" w:hint="eastAsia"/>
          </w:rPr>
          <w:t>五十</w:t>
        </w:r>
      </w:hyperlink>
      <w:r w:rsidRPr="008F5DB4">
        <w:rPr>
          <w:rFonts w:ascii="微軟正黑體" w:eastAsia="微軟正黑體" w:hAnsi="微軟正黑體" w:hint="eastAsia"/>
        </w:rPr>
        <w:t>條第一款中的“情節嚴重的，暫停直至取消招標代理資格”修改為“情節嚴重的，禁止其一年至二年內代理依法必須進行招標的項目並予以公告，直至由工商行政管理機關吊銷營業執照”。</w:t>
      </w:r>
    </w:p>
    <w:p w14:paraId="63137D72" w14:textId="77777777" w:rsidR="00052A15" w:rsidRPr="008F5DB4" w:rsidRDefault="00052A15" w:rsidP="000A6A55">
      <w:pPr>
        <w:pStyle w:val="2"/>
        <w:spacing w:beforeLines="30" w:before="108" w:beforeAutospacing="0" w:afterLines="30" w:after="108" w:afterAutospacing="0"/>
        <w:rPr>
          <w:rFonts w:ascii="微軟正黑體" w:eastAsia="微軟正黑體" w:hAnsi="微軟正黑體"/>
        </w:rPr>
      </w:pPr>
      <w:bookmarkStart w:id="7" w:name="a2"/>
      <w:bookmarkEnd w:id="7"/>
      <w:r w:rsidRPr="008F5DB4">
        <w:rPr>
          <w:rFonts w:ascii="微軟正黑體" w:eastAsia="微軟正黑體" w:hAnsi="微軟正黑體" w:hint="eastAsia"/>
        </w:rPr>
        <w:t>二、對《</w:t>
      </w:r>
      <w:hyperlink r:id="rId19" w:history="1">
        <w:r w:rsidRPr="008F5DB4">
          <w:rPr>
            <w:rStyle w:val="a3"/>
            <w:rFonts w:ascii="微軟正黑體" w:eastAsia="微軟正黑體" w:hAnsi="微軟正黑體" w:hint="eastAsia"/>
          </w:rPr>
          <w:t>中華人民共和國計量法</w:t>
        </w:r>
      </w:hyperlink>
      <w:r w:rsidRPr="008F5DB4">
        <w:rPr>
          <w:rFonts w:ascii="微軟正黑體" w:eastAsia="微軟正黑體" w:hAnsi="微軟正黑體" w:hint="eastAsia"/>
        </w:rPr>
        <w:t>》作出修改</w:t>
      </w:r>
    </w:p>
    <w:p w14:paraId="7DC074DF" w14:textId="77777777" w:rsidR="00052A15" w:rsidRPr="008F5DB4" w:rsidRDefault="00052A15" w:rsidP="00052A15">
      <w:pPr>
        <w:ind w:leftChars="75" w:left="150"/>
        <w:jc w:val="both"/>
        <w:rPr>
          <w:rFonts w:ascii="微軟正黑體" w:eastAsia="微軟正黑體" w:hAnsi="微軟正黑體"/>
        </w:rPr>
      </w:pPr>
      <w:r w:rsidRPr="008F5DB4">
        <w:rPr>
          <w:rFonts w:ascii="微軟正黑體" w:eastAsia="微軟正黑體" w:hAnsi="微軟正黑體" w:hint="eastAsia"/>
        </w:rPr>
        <w:t xml:space="preserve">　　（一）將第三條第一款修改為：“國家實行法定計量單位制度。”</w:t>
      </w:r>
    </w:p>
    <w:p w14:paraId="5B5095E2" w14:textId="77777777" w:rsidR="00052A15" w:rsidRPr="008F5DB4" w:rsidRDefault="00052A15" w:rsidP="00052A15">
      <w:pPr>
        <w:ind w:leftChars="75" w:left="150"/>
        <w:jc w:val="both"/>
        <w:rPr>
          <w:rFonts w:ascii="微軟正黑體" w:eastAsia="微軟正黑體" w:hAnsi="微軟正黑體"/>
        </w:rPr>
      </w:pPr>
      <w:r w:rsidRPr="008F5DB4">
        <w:rPr>
          <w:rFonts w:ascii="微軟正黑體" w:eastAsia="微軟正黑體" w:hAnsi="微軟正黑體" w:hint="eastAsia"/>
        </w:rPr>
        <w:t xml:space="preserve">　　第三款修改為：“因特殊需要採用非法定計量單位的管理辦法，由國務院計量行政部門另行制定。”</w:t>
      </w:r>
    </w:p>
    <w:p w14:paraId="3D92D725" w14:textId="77777777" w:rsidR="00052A15" w:rsidRPr="008F5DB4" w:rsidRDefault="00052A15" w:rsidP="00052A15">
      <w:pPr>
        <w:ind w:leftChars="75" w:left="150"/>
        <w:jc w:val="both"/>
        <w:rPr>
          <w:rFonts w:ascii="微軟正黑體" w:eastAsia="微軟正黑體" w:hAnsi="微軟正黑體"/>
        </w:rPr>
      </w:pPr>
      <w:r w:rsidRPr="008F5DB4">
        <w:rPr>
          <w:rFonts w:ascii="微軟正黑體" w:eastAsia="微軟正黑體" w:hAnsi="微軟正黑體" w:hint="eastAsia"/>
        </w:rPr>
        <w:t xml:space="preserve">　　（二）刪去第九條第二款中的“縣級以上人民政府計量行政部門應當進行監督檢查”。</w:t>
      </w:r>
    </w:p>
    <w:p w14:paraId="45546A54" w14:textId="77777777" w:rsidR="00052A15" w:rsidRPr="008F5DB4" w:rsidRDefault="00052A15" w:rsidP="00052A15">
      <w:pPr>
        <w:ind w:leftChars="75" w:left="150"/>
        <w:jc w:val="both"/>
        <w:rPr>
          <w:rFonts w:ascii="微軟正黑體" w:eastAsia="微軟正黑體" w:hAnsi="微軟正黑體"/>
        </w:rPr>
      </w:pPr>
      <w:r w:rsidRPr="008F5DB4">
        <w:rPr>
          <w:rFonts w:ascii="微軟正黑體" w:eastAsia="微軟正黑體" w:hAnsi="微軟正黑體" w:hint="eastAsia"/>
        </w:rPr>
        <w:t xml:space="preserve">　　（三）將第十二條修改為：“製造、修理計量器具的企業、事業單位，必須具有與所製造、修理的計量器具相適應的設施、人員和檢定儀器設備。”</w:t>
      </w:r>
    </w:p>
    <w:p w14:paraId="527FE1B8" w14:textId="77777777" w:rsidR="00052A15" w:rsidRPr="008F5DB4" w:rsidRDefault="00052A15" w:rsidP="00052A15">
      <w:pPr>
        <w:ind w:leftChars="75" w:left="150"/>
        <w:jc w:val="both"/>
        <w:rPr>
          <w:rFonts w:ascii="微軟正黑體" w:eastAsia="微軟正黑體" w:hAnsi="微軟正黑體"/>
        </w:rPr>
      </w:pPr>
      <w:r w:rsidRPr="008F5DB4">
        <w:rPr>
          <w:rFonts w:ascii="微軟正黑體" w:eastAsia="微軟正黑體" w:hAnsi="微軟正黑體" w:hint="eastAsia"/>
        </w:rPr>
        <w:t xml:space="preserve">　　（四）將第十四條修改為：“任何單位和個人不得違反規定製造、銷售和進口非法定計量單位的計量器具。”</w:t>
      </w:r>
    </w:p>
    <w:p w14:paraId="0F033B72" w14:textId="77777777" w:rsidR="00052A15" w:rsidRPr="008F5DB4" w:rsidRDefault="00052A15" w:rsidP="00052A15">
      <w:pPr>
        <w:ind w:leftChars="75" w:left="150"/>
        <w:jc w:val="both"/>
        <w:rPr>
          <w:rFonts w:ascii="微軟正黑體" w:eastAsia="微軟正黑體" w:hAnsi="微軟正黑體"/>
        </w:rPr>
      </w:pPr>
      <w:r w:rsidRPr="008F5DB4">
        <w:rPr>
          <w:rFonts w:ascii="微軟正黑體" w:eastAsia="微軟正黑體" w:hAnsi="微軟正黑體" w:hint="eastAsia"/>
        </w:rPr>
        <w:t xml:space="preserve">　　（五）刪去第十五條第二款。</w:t>
      </w:r>
    </w:p>
    <w:p w14:paraId="0A0C3199" w14:textId="77777777" w:rsidR="00052A15" w:rsidRPr="008F5DB4" w:rsidRDefault="00052A15" w:rsidP="00052A15">
      <w:pPr>
        <w:ind w:leftChars="75" w:left="150"/>
        <w:jc w:val="both"/>
        <w:rPr>
          <w:rFonts w:ascii="微軟正黑體" w:eastAsia="微軟正黑體" w:hAnsi="微軟正黑體"/>
        </w:rPr>
      </w:pPr>
      <w:r w:rsidRPr="008F5DB4">
        <w:rPr>
          <w:rFonts w:ascii="微軟正黑體" w:eastAsia="微軟正黑體" w:hAnsi="微軟正黑體" w:hint="eastAsia"/>
        </w:rPr>
        <w:t xml:space="preserve">　　（六）刪去第十七條第二款。</w:t>
      </w:r>
    </w:p>
    <w:p w14:paraId="10D7825E" w14:textId="77777777" w:rsidR="00052A15" w:rsidRPr="008F5DB4" w:rsidRDefault="00052A15" w:rsidP="00052A15">
      <w:pPr>
        <w:ind w:leftChars="75" w:left="150"/>
        <w:jc w:val="both"/>
        <w:rPr>
          <w:rFonts w:ascii="微軟正黑體" w:eastAsia="微軟正黑體" w:hAnsi="微軟正黑體"/>
        </w:rPr>
      </w:pPr>
      <w:r w:rsidRPr="008F5DB4">
        <w:rPr>
          <w:rFonts w:ascii="微軟正黑體" w:eastAsia="微軟正黑體" w:hAnsi="微軟正黑體" w:hint="eastAsia"/>
        </w:rPr>
        <w:t xml:space="preserve">　　（七）第四章增加一條作為第十八條：“縣級以上人民政府計量行政部門應當依法對製造、修理、銷售、進口和使用計量器具，以及計量檢定等相關計量活動進行監督檢查。有關單位和個人不得拒絕、阻撓。”</w:t>
      </w:r>
    </w:p>
    <w:p w14:paraId="36B10413" w14:textId="77777777" w:rsidR="00052A15" w:rsidRPr="008F5DB4" w:rsidRDefault="00052A15" w:rsidP="00052A15">
      <w:pPr>
        <w:ind w:leftChars="75" w:left="150"/>
        <w:jc w:val="both"/>
        <w:rPr>
          <w:rFonts w:ascii="微軟正黑體" w:eastAsia="微軟正黑體" w:hAnsi="微軟正黑體"/>
        </w:rPr>
      </w:pPr>
      <w:r w:rsidRPr="008F5DB4">
        <w:rPr>
          <w:rFonts w:ascii="微軟正黑體" w:eastAsia="微軟正黑體" w:hAnsi="微軟正黑體" w:hint="eastAsia"/>
        </w:rPr>
        <w:t xml:space="preserve">　　（八）刪去第二十二條。</w:t>
      </w:r>
    </w:p>
    <w:p w14:paraId="3FF62205" w14:textId="77777777" w:rsidR="00052A15" w:rsidRPr="008F5DB4" w:rsidRDefault="00052A15" w:rsidP="00052A15">
      <w:pPr>
        <w:ind w:leftChars="75" w:left="150"/>
        <w:jc w:val="both"/>
        <w:rPr>
          <w:rFonts w:ascii="微軟正黑體" w:eastAsia="微軟正黑體" w:hAnsi="微軟正黑體"/>
        </w:rPr>
      </w:pPr>
      <w:r w:rsidRPr="008F5DB4">
        <w:rPr>
          <w:rFonts w:ascii="微軟正黑體" w:eastAsia="微軟正黑體" w:hAnsi="微軟正黑體" w:hint="eastAsia"/>
        </w:rPr>
        <w:t xml:space="preserve">　　本決定自2017年12月28日起施行。</w:t>
      </w:r>
    </w:p>
    <w:p w14:paraId="608400D7" w14:textId="77777777" w:rsidR="001635EA" w:rsidRPr="008F5DB4" w:rsidRDefault="000A6A55" w:rsidP="00052A15">
      <w:pPr>
        <w:ind w:leftChars="75" w:left="150"/>
        <w:jc w:val="both"/>
        <w:rPr>
          <w:rFonts w:ascii="微軟正黑體" w:eastAsia="微軟正黑體" w:hAnsi="微軟正黑體"/>
        </w:rPr>
      </w:pPr>
      <w:r w:rsidRPr="008F5DB4">
        <w:rPr>
          <w:rFonts w:ascii="微軟正黑體" w:eastAsia="微軟正黑體" w:hAnsi="微軟正黑體" w:hint="eastAsia"/>
        </w:rPr>
        <w:t xml:space="preserve">　</w:t>
      </w:r>
      <w:r w:rsidR="00052A15" w:rsidRPr="008F5DB4">
        <w:rPr>
          <w:rFonts w:ascii="微軟正黑體" w:eastAsia="微軟正黑體" w:hAnsi="微軟正黑體" w:hint="eastAsia"/>
        </w:rPr>
        <w:t xml:space="preserve">　</w:t>
      </w:r>
      <w:r w:rsidRPr="008F5DB4">
        <w:rPr>
          <w:rFonts w:ascii="微軟正黑體" w:eastAsia="微軟正黑體" w:hAnsi="微軟正黑體" w:hint="eastAsia"/>
        </w:rPr>
        <w:t>《</w:t>
      </w:r>
      <w:hyperlink r:id="rId20" w:history="1">
        <w:r w:rsidRPr="008F5DB4">
          <w:rPr>
            <w:rStyle w:val="a3"/>
            <w:rFonts w:ascii="微軟正黑體" w:eastAsia="微軟正黑體" w:hAnsi="微軟正黑體" w:hint="eastAsia"/>
          </w:rPr>
          <w:t>中華人民共和國招標投標法</w:t>
        </w:r>
      </w:hyperlink>
      <w:r w:rsidR="00052A15" w:rsidRPr="008F5DB4">
        <w:rPr>
          <w:rFonts w:ascii="微軟正黑體" w:eastAsia="微軟正黑體" w:hAnsi="微軟正黑體" w:hint="eastAsia"/>
        </w:rPr>
        <w:t>》、</w:t>
      </w:r>
      <w:r w:rsidRPr="008F5DB4">
        <w:rPr>
          <w:rFonts w:ascii="微軟正黑體" w:eastAsia="微軟正黑體" w:hAnsi="微軟正黑體" w:hint="eastAsia"/>
        </w:rPr>
        <w:t>《</w:t>
      </w:r>
      <w:hyperlink r:id="rId21" w:history="1">
        <w:r w:rsidRPr="008F5DB4">
          <w:rPr>
            <w:rStyle w:val="a3"/>
            <w:rFonts w:ascii="微軟正黑體" w:eastAsia="微軟正黑體" w:hAnsi="微軟正黑體" w:hint="eastAsia"/>
          </w:rPr>
          <w:t>中華人民共和國計量法</w:t>
        </w:r>
      </w:hyperlink>
      <w:r w:rsidR="00052A15" w:rsidRPr="008F5DB4">
        <w:rPr>
          <w:rFonts w:ascii="微軟正黑體" w:eastAsia="微軟正黑體" w:hAnsi="微軟正黑體" w:hint="eastAsia"/>
        </w:rPr>
        <w:t>》根據本決定作相應修改，重新公布。</w:t>
      </w:r>
    </w:p>
    <w:p w14:paraId="43212EF1" w14:textId="77777777" w:rsidR="00B2293B" w:rsidRPr="008F5DB4" w:rsidRDefault="00B2293B" w:rsidP="005D7873">
      <w:pPr>
        <w:ind w:leftChars="75" w:left="150"/>
        <w:jc w:val="both"/>
        <w:rPr>
          <w:rFonts w:ascii="微軟正黑體" w:eastAsia="微軟正黑體" w:hAnsi="微軟正黑體"/>
        </w:rPr>
      </w:pPr>
    </w:p>
    <w:p w14:paraId="6B12B089" w14:textId="77777777" w:rsidR="001635EA" w:rsidRPr="008F5DB4" w:rsidRDefault="001635EA" w:rsidP="005D7873">
      <w:pPr>
        <w:ind w:leftChars="75" w:left="150"/>
        <w:jc w:val="both"/>
        <w:rPr>
          <w:rFonts w:ascii="微軟正黑體" w:eastAsia="微軟正黑體" w:hAnsi="微軟正黑體"/>
        </w:rPr>
      </w:pPr>
    </w:p>
    <w:p w14:paraId="470B6191" w14:textId="77777777" w:rsidR="00FF6B24" w:rsidRPr="008F5DB4" w:rsidRDefault="00FF6B24" w:rsidP="00FF6B24">
      <w:pPr>
        <w:ind w:leftChars="50" w:left="100"/>
        <w:jc w:val="both"/>
        <w:rPr>
          <w:rFonts w:ascii="微軟正黑體" w:eastAsia="微軟正黑體" w:hAnsi="微軟正黑體"/>
          <w:color w:val="808000"/>
          <w:szCs w:val="20"/>
        </w:rPr>
      </w:pPr>
      <w:bookmarkStart w:id="8" w:name="_Hlk529364327"/>
      <w:r w:rsidRPr="008F5DB4">
        <w:rPr>
          <w:rFonts w:ascii="微軟正黑體" w:eastAsia="微軟正黑體" w:hAnsi="微軟正黑體"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8F5DB4">
          <w:rPr>
            <w:rStyle w:val="a3"/>
            <w:rFonts w:ascii="微軟正黑體" w:eastAsia="微軟正黑體" w:hAnsi="微軟正黑體" w:hint="eastAsia"/>
            <w:sz w:val="18"/>
          </w:rPr>
          <w:t>回</w:t>
        </w:r>
        <w:r w:rsidRPr="008F5DB4">
          <w:rPr>
            <w:rStyle w:val="a3"/>
            <w:rFonts w:ascii="微軟正黑體" w:eastAsia="微軟正黑體" w:hAnsi="微軟正黑體" w:hint="eastAsia"/>
            <w:sz w:val="18"/>
          </w:rPr>
          <w:t>首</w:t>
        </w:r>
        <w:r w:rsidRPr="008F5DB4">
          <w:rPr>
            <w:rStyle w:val="a3"/>
            <w:rFonts w:ascii="微軟正黑體" w:eastAsia="微軟正黑體" w:hAnsi="微軟正黑體" w:hint="eastAsia"/>
            <w:sz w:val="18"/>
          </w:rPr>
          <w:t>頁</w:t>
        </w:r>
      </w:hyperlink>
      <w:r w:rsidRPr="008F5DB4">
        <w:rPr>
          <w:rStyle w:val="a3"/>
          <w:rFonts w:ascii="微軟正黑體" w:eastAsia="微軟正黑體" w:hAnsi="微軟正黑體" w:hint="eastAsia"/>
          <w:b/>
          <w:sz w:val="18"/>
          <w:u w:val="none"/>
        </w:rPr>
        <w:t>〉〉</w:t>
      </w:r>
    </w:p>
    <w:p w14:paraId="1AAAE3CD" w14:textId="5599028B" w:rsidR="00FF6B24" w:rsidRPr="008F5DB4" w:rsidRDefault="00FF6B24" w:rsidP="00FF6B24">
      <w:pPr>
        <w:jc w:val="both"/>
        <w:rPr>
          <w:rFonts w:ascii="微軟正黑體" w:eastAsia="微軟正黑體" w:hAnsi="微軟正黑體"/>
        </w:rPr>
      </w:pPr>
      <w:r w:rsidRPr="008F5DB4">
        <w:rPr>
          <w:rFonts w:ascii="微軟正黑體" w:eastAsia="微軟正黑體" w:hAnsi="微軟正黑體" w:hint="eastAsia"/>
          <w:color w:val="5F5F5F"/>
          <w:sz w:val="18"/>
          <w:szCs w:val="18"/>
        </w:rPr>
        <w:t>【編註】</w:t>
      </w:r>
      <w:r w:rsidR="007A4D66" w:rsidRPr="008F5DB4">
        <w:rPr>
          <w:rFonts w:ascii="微軟正黑體" w:eastAsia="微軟正黑體" w:hAnsi="微軟正黑體" w:hint="eastAsia"/>
          <w:color w:val="5F5F5F"/>
          <w:sz w:val="18"/>
          <w:szCs w:val="18"/>
        </w:rPr>
        <w:t>本檔法規資料來源為官方資訊網，提供學習與參考為原則，</w:t>
      </w:r>
      <w:r w:rsidRPr="008F5DB4">
        <w:rPr>
          <w:rFonts w:ascii="微軟正黑體" w:eastAsia="微軟正黑體" w:hAnsi="微軟正黑體" w:hint="eastAsia"/>
          <w:color w:val="5F5F5F"/>
          <w:sz w:val="18"/>
          <w:szCs w:val="18"/>
        </w:rPr>
        <w:t>如需引用請以正式檔為準。如有發現待更正部份及您所需本站未收編之法規</w:t>
      </w:r>
      <w:r w:rsidRPr="008F5DB4">
        <w:rPr>
          <w:rFonts w:ascii="微軟正黑體" w:eastAsia="微軟正黑體" w:hAnsi="微軟正黑體" w:hint="eastAsia"/>
          <w:color w:val="5F5F5F"/>
          <w:sz w:val="18"/>
          <w:szCs w:val="20"/>
        </w:rPr>
        <w:t>，</w:t>
      </w:r>
      <w:r w:rsidRPr="008F5DB4">
        <w:rPr>
          <w:rFonts w:ascii="微軟正黑體" w:eastAsia="微軟正黑體" w:hAnsi="微軟正黑體"/>
          <w:color w:val="5F5F5F"/>
          <w:sz w:val="18"/>
          <w:szCs w:val="20"/>
        </w:rPr>
        <w:t>敬</w:t>
      </w:r>
      <w:r w:rsidRPr="008F5DB4">
        <w:rPr>
          <w:rFonts w:ascii="微軟正黑體" w:eastAsia="微軟正黑體" w:hAnsi="微軟正黑體" w:hint="eastAsia"/>
          <w:color w:val="5F5F5F"/>
          <w:sz w:val="18"/>
          <w:szCs w:val="20"/>
        </w:rPr>
        <w:t>請</w:t>
      </w:r>
      <w:hyperlink r:id="rId22" w:history="1">
        <w:r w:rsidRPr="008F5DB4">
          <w:rPr>
            <w:rStyle w:val="a3"/>
            <w:rFonts w:ascii="微軟正黑體" w:eastAsia="微軟正黑體" w:hAnsi="微軟正黑體"/>
            <w:sz w:val="18"/>
            <w:szCs w:val="20"/>
          </w:rPr>
          <w:t>告知</w:t>
        </w:r>
      </w:hyperlink>
      <w:r w:rsidRPr="008F5DB4">
        <w:rPr>
          <w:rFonts w:ascii="微軟正黑體" w:eastAsia="微軟正黑體" w:hAnsi="微軟正黑體" w:hint="eastAsia"/>
          <w:color w:val="5F5F5F"/>
          <w:sz w:val="18"/>
          <w:szCs w:val="20"/>
        </w:rPr>
        <w:t>，謝謝！</w:t>
      </w:r>
    </w:p>
    <w:bookmarkEnd w:id="8"/>
    <w:p w14:paraId="28F1E712" w14:textId="77777777" w:rsidR="00201E46" w:rsidRPr="008F5DB4" w:rsidRDefault="00201E46">
      <w:pPr>
        <w:rPr>
          <w:rFonts w:ascii="微軟正黑體" w:eastAsia="微軟正黑體" w:hAnsi="微軟正黑體"/>
        </w:rPr>
      </w:pPr>
    </w:p>
    <w:sectPr w:rsidR="00201E46" w:rsidRPr="008F5DB4">
      <w:footerReference w:type="even" r:id="rId23"/>
      <w:footerReference w:type="default" r:id="rId24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A946" w14:textId="77777777" w:rsidR="00736734" w:rsidRDefault="00736734">
      <w:r>
        <w:separator/>
      </w:r>
    </w:p>
  </w:endnote>
  <w:endnote w:type="continuationSeparator" w:id="0">
    <w:p w14:paraId="0D455D22" w14:textId="77777777" w:rsidR="00736734" w:rsidRDefault="0073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F4D5" w14:textId="77777777" w:rsidR="00D83F0F" w:rsidRDefault="00D83F0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30415B" w14:textId="77777777" w:rsidR="00D83F0F" w:rsidRDefault="00D83F0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7402" w14:textId="77777777" w:rsidR="00D83F0F" w:rsidRDefault="00D83F0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1838">
      <w:rPr>
        <w:rStyle w:val="a7"/>
        <w:noProof/>
      </w:rPr>
      <w:t>1</w:t>
    </w:r>
    <w:r>
      <w:rPr>
        <w:rStyle w:val="a7"/>
      </w:rPr>
      <w:fldChar w:fldCharType="end"/>
    </w:r>
  </w:p>
  <w:p w14:paraId="2DE45DD3" w14:textId="77777777" w:rsidR="00D83F0F" w:rsidRPr="00177DCB" w:rsidRDefault="00D83F0F" w:rsidP="001635EA">
    <w:pPr>
      <w:pStyle w:val="a6"/>
      <w:ind w:right="360"/>
      <w:jc w:val="right"/>
      <w:rPr>
        <w:rFonts w:ascii="Arial Unicode MS" w:hAnsi="Arial Unicode MS"/>
      </w:rPr>
    </w:pPr>
    <w:r>
      <w:rPr>
        <w:rFonts w:ascii="Arial Unicode MS" w:hAnsi="Arial Unicode MS"/>
        <w:sz w:val="18"/>
        <w:szCs w:val="18"/>
      </w:rPr>
      <w:t>〈〈</w:t>
    </w:r>
    <w:r w:rsidRPr="00052A15">
      <w:rPr>
        <w:rFonts w:ascii="Arial Unicode MS" w:hAnsi="Arial Unicode MS" w:hint="eastAsia"/>
        <w:sz w:val="18"/>
        <w:szCs w:val="18"/>
      </w:rPr>
      <w:t>全國人民代表大會常務委員會關於修改《中華人民共和國招標投標法》、《中華人民共和國計量法》的決定</w:t>
    </w:r>
    <w:r>
      <w:rPr>
        <w:rFonts w:ascii="Arial Unicode MS" w:hAnsi="Arial Unicode MS"/>
        <w:sz w:val="18"/>
        <w:szCs w:val="18"/>
      </w:rPr>
      <w:t>〉〉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8CF6" w14:textId="77777777" w:rsidR="00736734" w:rsidRDefault="00736734">
      <w:r>
        <w:separator/>
      </w:r>
    </w:p>
  </w:footnote>
  <w:footnote w:type="continuationSeparator" w:id="0">
    <w:p w14:paraId="5E62347A" w14:textId="77777777" w:rsidR="00736734" w:rsidRDefault="00736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65AD8"/>
    <w:multiLevelType w:val="hybridMultilevel"/>
    <w:tmpl w:val="42541986"/>
    <w:lvl w:ilvl="0" w:tplc="2B107502">
      <w:start w:val="3"/>
      <w:numFmt w:val="taiwaneseCountingThousand"/>
      <w:lvlText w:val="第%1章"/>
      <w:lvlJc w:val="left"/>
      <w:pPr>
        <w:tabs>
          <w:tab w:val="num" w:pos="1358"/>
        </w:tabs>
        <w:ind w:left="1358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8"/>
        </w:tabs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8"/>
        </w:tabs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8"/>
        </w:tabs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8"/>
        </w:tabs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8"/>
        </w:tabs>
        <w:ind w:left="4718" w:hanging="480"/>
      </w:pPr>
    </w:lvl>
  </w:abstractNum>
  <w:abstractNum w:abstractNumId="1" w15:restartNumberingAfterBreak="0">
    <w:nsid w:val="32191FC3"/>
    <w:multiLevelType w:val="hybridMultilevel"/>
    <w:tmpl w:val="9F32C358"/>
    <w:lvl w:ilvl="0" w:tplc="FDAEC0DE">
      <w:start w:val="2"/>
      <w:numFmt w:val="taiwaneseCountingThousand"/>
      <w:lvlText w:val="第%1章"/>
      <w:lvlJc w:val="left"/>
      <w:pPr>
        <w:tabs>
          <w:tab w:val="num" w:pos="1380"/>
        </w:tabs>
        <w:ind w:left="13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3AD53E25"/>
    <w:multiLevelType w:val="hybridMultilevel"/>
    <w:tmpl w:val="8B16444C"/>
    <w:lvl w:ilvl="0" w:tplc="2B107502">
      <w:start w:val="3"/>
      <w:numFmt w:val="taiwaneseCountingThousand"/>
      <w:lvlText w:val="第%1章"/>
      <w:lvlJc w:val="left"/>
      <w:pPr>
        <w:tabs>
          <w:tab w:val="num" w:pos="1958"/>
        </w:tabs>
        <w:ind w:left="1958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" w15:restartNumberingAfterBreak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E46"/>
    <w:rsid w:val="00052A15"/>
    <w:rsid w:val="0005486F"/>
    <w:rsid w:val="0007323F"/>
    <w:rsid w:val="0009697B"/>
    <w:rsid w:val="000A6A55"/>
    <w:rsid w:val="000F1F46"/>
    <w:rsid w:val="001635EA"/>
    <w:rsid w:val="00165A0D"/>
    <w:rsid w:val="00172209"/>
    <w:rsid w:val="0017570E"/>
    <w:rsid w:val="00177DCB"/>
    <w:rsid w:val="001974AB"/>
    <w:rsid w:val="001C3672"/>
    <w:rsid w:val="00201E46"/>
    <w:rsid w:val="00203F02"/>
    <w:rsid w:val="0023765D"/>
    <w:rsid w:val="00273668"/>
    <w:rsid w:val="00296040"/>
    <w:rsid w:val="0030009C"/>
    <w:rsid w:val="00334965"/>
    <w:rsid w:val="003365FD"/>
    <w:rsid w:val="00343275"/>
    <w:rsid w:val="003569D6"/>
    <w:rsid w:val="00362C6F"/>
    <w:rsid w:val="003906B2"/>
    <w:rsid w:val="003B3069"/>
    <w:rsid w:val="003D1419"/>
    <w:rsid w:val="003E2320"/>
    <w:rsid w:val="003F13C2"/>
    <w:rsid w:val="003F1567"/>
    <w:rsid w:val="00434439"/>
    <w:rsid w:val="004528B7"/>
    <w:rsid w:val="00454643"/>
    <w:rsid w:val="00454A6B"/>
    <w:rsid w:val="004717A5"/>
    <w:rsid w:val="00514F72"/>
    <w:rsid w:val="00537188"/>
    <w:rsid w:val="00540B82"/>
    <w:rsid w:val="00553AEB"/>
    <w:rsid w:val="0057446C"/>
    <w:rsid w:val="00581276"/>
    <w:rsid w:val="005B4CC0"/>
    <w:rsid w:val="005D7873"/>
    <w:rsid w:val="00604857"/>
    <w:rsid w:val="00626027"/>
    <w:rsid w:val="006D72F9"/>
    <w:rsid w:val="006E1980"/>
    <w:rsid w:val="00734DE5"/>
    <w:rsid w:val="00736734"/>
    <w:rsid w:val="00793D0C"/>
    <w:rsid w:val="00797FAF"/>
    <w:rsid w:val="007A4D66"/>
    <w:rsid w:val="007B3157"/>
    <w:rsid w:val="007D3E58"/>
    <w:rsid w:val="00806947"/>
    <w:rsid w:val="0083478A"/>
    <w:rsid w:val="0087702E"/>
    <w:rsid w:val="008829E0"/>
    <w:rsid w:val="008D6226"/>
    <w:rsid w:val="008F5DB4"/>
    <w:rsid w:val="008F7B9F"/>
    <w:rsid w:val="00911C69"/>
    <w:rsid w:val="009F6C66"/>
    <w:rsid w:val="00A101CC"/>
    <w:rsid w:val="00A73C84"/>
    <w:rsid w:val="00AB02D1"/>
    <w:rsid w:val="00AC493C"/>
    <w:rsid w:val="00AD7F37"/>
    <w:rsid w:val="00B2293B"/>
    <w:rsid w:val="00B30C08"/>
    <w:rsid w:val="00B51CF4"/>
    <w:rsid w:val="00B90155"/>
    <w:rsid w:val="00B944B9"/>
    <w:rsid w:val="00BA702B"/>
    <w:rsid w:val="00BA7B85"/>
    <w:rsid w:val="00C01E1E"/>
    <w:rsid w:val="00C240AA"/>
    <w:rsid w:val="00C2437D"/>
    <w:rsid w:val="00C560C5"/>
    <w:rsid w:val="00C96C88"/>
    <w:rsid w:val="00CC3C48"/>
    <w:rsid w:val="00CC4048"/>
    <w:rsid w:val="00D44AB2"/>
    <w:rsid w:val="00D54DAF"/>
    <w:rsid w:val="00D83F0F"/>
    <w:rsid w:val="00D918A6"/>
    <w:rsid w:val="00DC51B7"/>
    <w:rsid w:val="00DC629F"/>
    <w:rsid w:val="00E35DAC"/>
    <w:rsid w:val="00E9022C"/>
    <w:rsid w:val="00EE6475"/>
    <w:rsid w:val="00EF293B"/>
    <w:rsid w:val="00F61C62"/>
    <w:rsid w:val="00F86C8B"/>
    <w:rsid w:val="00F93722"/>
    <w:rsid w:val="00F96907"/>
    <w:rsid w:val="00FF1838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DBBE9"/>
  <w15:docId w15:val="{1935BB8A-28D9-4E6C-8748-4D84D3BA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334965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5D7873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AD7F37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sid w:val="00514F72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a8">
    <w:name w:val="Document Map"/>
    <w:basedOn w:val="a"/>
    <w:link w:val="a9"/>
    <w:rsid w:val="003F156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3F1567"/>
    <w:rPr>
      <w:rFonts w:ascii="新細明體" w:hAnsi="新細明體"/>
      <w:kern w:val="2"/>
      <w:szCs w:val="18"/>
    </w:rPr>
  </w:style>
  <w:style w:type="character" w:customStyle="1" w:styleId="20">
    <w:name w:val="標題 2 字元"/>
    <w:link w:val="2"/>
    <w:rsid w:val="005D7873"/>
    <w:rPr>
      <w:rFonts w:ascii="Arial Unicode MS" w:hAnsi="Arial Unicode MS" w:cs="Arial Unicode MS"/>
      <w:b/>
      <w:bCs/>
      <w:color w:val="990000"/>
      <w:kern w:val="2"/>
      <w:szCs w:val="48"/>
    </w:rPr>
  </w:style>
  <w:style w:type="character" w:customStyle="1" w:styleId="30">
    <w:name w:val="標題 3 字元"/>
    <w:link w:val="3"/>
    <w:rsid w:val="00AD7F37"/>
    <w:rPr>
      <w:rFonts w:ascii="Arial Unicode MS" w:hAnsi="Arial Unicode MS" w:cs="Arial Unicode MS"/>
      <w:bCs/>
      <w:color w:val="808000"/>
      <w:kern w:val="2"/>
      <w:szCs w:val="36"/>
    </w:rPr>
  </w:style>
  <w:style w:type="paragraph" w:styleId="aa">
    <w:name w:val="Balloon Text"/>
    <w:basedOn w:val="a"/>
    <w:link w:val="ab"/>
    <w:rsid w:val="00052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52A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30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../S-link&#22823;&#38520;&#27861;&#35215;&#32034;&#24341;.docx" TargetMode="External"/><Relationship Id="rId18" Type="http://schemas.openxmlformats.org/officeDocument/2006/relationships/hyperlink" Target="&#20013;&#33775;&#20154;&#27665;&#20849;&#21644;&#22283;&#25307;&#27161;&#25237;&#27161;&#27861;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&#20013;&#33775;&#20154;&#27665;&#20849;&#21644;&#22283;&#35336;&#37327;&#27861;.docx" TargetMode="External"/><Relationship Id="rId7" Type="http://schemas.openxmlformats.org/officeDocument/2006/relationships/hyperlink" Target="https://www.6laws.net/" TargetMode="External"/><Relationship Id="rId12" Type="http://schemas.openxmlformats.org/officeDocument/2006/relationships/hyperlink" Target="../S-link&#38651;&#23376;&#20845;&#27861;&#32317;&#32034;&#24341;.docx" TargetMode="External"/><Relationship Id="rId17" Type="http://schemas.openxmlformats.org/officeDocument/2006/relationships/hyperlink" Target="&#20013;&#33775;&#20154;&#27665;&#20849;&#21644;&#22283;&#25307;&#27161;&#25237;&#27161;&#27861;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&#20013;&#33775;&#20154;&#27665;&#20849;&#21644;&#22283;&#25307;&#27161;&#25237;&#27161;&#27861;.docx" TargetMode="External"/><Relationship Id="rId20" Type="http://schemas.openxmlformats.org/officeDocument/2006/relationships/hyperlink" Target="&#20013;&#33775;&#20154;&#27665;&#20849;&#21644;&#22283;&#25307;&#27161;&#25237;&#27161;&#27861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Googledrive\!!s6law.net\6lawword\lawgb\&#20840;&#22269;&#20154;&#27665;&#20195;&#34920;&#22823;&#20250;&#24120;&#21153;&#22996;&#21592;&#20250;&#20851;&#20110;&#20462;&#25913;&#12298;&#20013;&#21326;&#20154;&#27665;&#20849;&#21644;&#22269;&#25307;&#26631;&#25237;&#26631;&#27861;&#12299;&#12289;&#12298;&#20013;&#21326;&#20154;&#27665;&#20849;&#21644;&#22269;&#35745;&#37327;&#27861;&#12299;&#30340;&#20915;&#23450;.docx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&#20013;&#33775;&#20154;&#27665;&#20849;&#21644;&#22283;&#25307;&#27161;&#25237;&#27161;&#27861;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facebook.com/anita6law" TargetMode="External"/><Relationship Id="rId19" Type="http://schemas.openxmlformats.org/officeDocument/2006/relationships/hyperlink" Target="&#20013;&#33775;&#20154;&#27665;&#20849;&#21644;&#22283;&#35336;&#37327;&#2786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6laws.net/update.htm" TargetMode="External"/><Relationship Id="rId14" Type="http://schemas.openxmlformats.org/officeDocument/2006/relationships/hyperlink" Target="https://www.6laws.net/6law/law-gb/&#20840;&#22283;&#20154;&#27665;&#20195;&#34920;&#22823;&#26371;&#24120;&#21209;&#22996;&#21729;&#26371;&#38364;&#26044;&#20462;&#25913;&#12298;&#20013;&#33775;&#20154;&#27665;&#20849;&#21644;&#22283;&#25307;&#27161;&#25237;&#27161;&#27861;&#12299;&#12289;&#12298;&#20013;&#33775;&#20154;&#27665;&#20849;&#21644;&#22283;&#35336;&#37327;&#27861;&#12299;&#30340;&#27770;&#23450;.htm" TargetMode="External"/><Relationship Id="rId22" Type="http://schemas.openxmlformats.org/officeDocument/2006/relationships/hyperlink" Target="https://www.6laws.net/comment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Links>
    <vt:vector size="114" baseType="variant">
      <vt:variant>
        <vt:i4>2949124</vt:i4>
      </vt:variant>
      <vt:variant>
        <vt:i4>54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6357089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3342433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a34</vt:lpwstr>
      </vt:variant>
      <vt:variant>
        <vt:i4>6357089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6357089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6357089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6357089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3342433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a35</vt:lpwstr>
      </vt:variant>
      <vt:variant>
        <vt:i4>3276897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a29</vt:lpwstr>
      </vt:variant>
      <vt:variant>
        <vt:i4>3211361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a19</vt:lpwstr>
      </vt:variant>
      <vt:variant>
        <vt:i4>3604577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a7</vt:lpwstr>
      </vt:variant>
      <vt:variant>
        <vt:i4>3211361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a1</vt:lpwstr>
      </vt:variant>
      <vt:variant>
        <vt:i4>-1568714189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http://www.6law.idv.tw/6law/law-gb/醫療器械監督管理條例.htm</vt:lpwstr>
      </vt:variant>
      <vt:variant>
        <vt:lpwstr/>
      </vt:variant>
      <vt:variant>
        <vt:i4>450028212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醫療器械監督管理條例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全國人民代表大會常務委員會關於修改《中華人民共和國招標投標法》、《中華人民共和國計量法》的決定</dc:title>
  <dc:creator>S-link 電子六法-黃婉玲</dc:creator>
  <cp:lastModifiedBy>黃婉玲 S-link電子六法</cp:lastModifiedBy>
  <cp:revision>28</cp:revision>
  <dcterms:created xsi:type="dcterms:W3CDTF">2018-01-18T17:02:00Z</dcterms:created>
  <dcterms:modified xsi:type="dcterms:W3CDTF">2022-04-03T06:25:00Z</dcterms:modified>
</cp:coreProperties>
</file>