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75A" w:rsidRDefault="00030781" w:rsidP="00CD3544">
      <w:pPr>
        <w:adjustRightInd w:val="0"/>
        <w:snapToGrid w:val="0"/>
        <w:ind w:rightChars="8" w:right="16"/>
        <w:jc w:val="right"/>
        <w:rPr>
          <w:rFonts w:ascii="Arial Unicode MS" w:hAnsi="Arial Unicode MS"/>
        </w:rPr>
      </w:pPr>
      <w:hyperlink r:id="rId8" w:history="1">
        <w:r>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2E275A" w:rsidRPr="007841B0" w:rsidRDefault="002E275A" w:rsidP="00CD3544">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E134EC">
          <w:rPr>
            <w:rStyle w:val="a3"/>
            <w:sz w:val="18"/>
            <w:szCs w:val="20"/>
          </w:rPr>
          <w:t>更新</w:t>
        </w:r>
      </w:hyperlink>
      <w:r>
        <w:rPr>
          <w:rFonts w:hint="eastAsia"/>
          <w:color w:val="7F7F7F"/>
          <w:sz w:val="18"/>
          <w:szCs w:val="20"/>
          <w:lang w:val="zh-TW"/>
        </w:rPr>
        <w:t>】</w:t>
      </w:r>
      <w:r w:rsidR="00F93EE5">
        <w:rPr>
          <w:rFonts w:ascii="Arial Unicode MS" w:hAnsi="Arial Unicode MS"/>
          <w:color w:val="7F7F7F"/>
          <w:sz w:val="18"/>
        </w:rPr>
        <w:t>2017/10/9</w:t>
      </w:r>
      <w:r>
        <w:rPr>
          <w:rFonts w:hint="eastAsia"/>
          <w:color w:val="7F7F7F"/>
          <w:sz w:val="18"/>
          <w:szCs w:val="20"/>
          <w:lang w:val="zh-TW"/>
        </w:rPr>
        <w:t>【</w:t>
      </w:r>
      <w:hyperlink r:id="rId11" w:history="1">
        <w:r w:rsidRPr="00E134EC">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2E275A" w:rsidRDefault="002E275A" w:rsidP="00CD3544">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Default="002E275A" w:rsidP="00CD3544">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4" w:anchor="大陸居民赴臺灣地區旅遊管理辦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Pr="00BC5C62">
        <w:rPr>
          <w:rFonts w:ascii="Arial Unicode MS" w:hAnsi="Arial Unicode MS" w:hint="eastAsia"/>
          <w:b/>
          <w:color w:val="5F5F5F"/>
          <w:sz w:val="18"/>
        </w:rPr>
        <w:t>&gt;&gt;</w:t>
      </w:r>
      <w:hyperlink r:id="rId15" w:tgtFrame="_blank" w:history="1">
        <w:r w:rsidRPr="00BC5C62">
          <w:rPr>
            <w:rStyle w:val="a3"/>
            <w:rFonts w:ascii="Arial Unicode MS" w:hAnsi="Arial Unicode MS" w:hint="eastAsia"/>
            <w:sz w:val="18"/>
          </w:rPr>
          <w:t>線上網頁版</w:t>
        </w:r>
      </w:hyperlink>
      <w:r w:rsidRPr="00BC5C62">
        <w:rPr>
          <w:rFonts w:ascii="Arial Unicode MS" w:hAnsi="Arial Unicode MS" w:hint="eastAsia"/>
          <w:b/>
          <w:color w:val="5F5F5F"/>
          <w:sz w:val="18"/>
        </w:rPr>
        <w:t>&gt;&gt;</w:t>
      </w:r>
    </w:p>
    <w:p w:rsidR="00F93EE5" w:rsidRPr="002C7B09" w:rsidRDefault="00F93EE5" w:rsidP="00F93EE5">
      <w:pPr>
        <w:ind w:rightChars="-66" w:right="-132" w:firstLineChars="2880" w:firstLine="5760"/>
        <w:jc w:val="right"/>
        <w:rPr>
          <w:rFonts w:ascii="Arial Unicode MS" w:hAnsi="Arial Unicode MS"/>
          <w:color w:val="666699"/>
        </w:rPr>
      </w:pPr>
    </w:p>
    <w:p w:rsidR="002A00C9" w:rsidRPr="002C7B09" w:rsidRDefault="000364E4" w:rsidP="007F3D75">
      <w:pPr>
        <w:rPr>
          <w:rFonts w:ascii="Arial Unicode MS" w:hAnsi="Arial Unicode MS"/>
          <w:b/>
          <w:bCs/>
          <w:color w:val="993300"/>
        </w:rPr>
      </w:pPr>
      <w:r w:rsidRPr="002C7B09">
        <w:rPr>
          <w:rFonts w:ascii="Arial Unicode MS" w:hAnsi="Arial Unicode MS"/>
          <w:b/>
          <w:bCs/>
          <w:color w:val="993300"/>
          <w:szCs w:val="20"/>
        </w:rPr>
        <w:t>【</w:t>
      </w:r>
      <w:r w:rsidRPr="002C7B09">
        <w:rPr>
          <w:rFonts w:ascii="Arial Unicode MS" w:hAnsi="Arial Unicode MS" w:hint="eastAsia"/>
          <w:b/>
          <w:bCs/>
          <w:color w:val="993300"/>
          <w:szCs w:val="20"/>
        </w:rPr>
        <w:t>大陸</w:t>
      </w:r>
      <w:r w:rsidRPr="002C7B09">
        <w:rPr>
          <w:rFonts w:ascii="Arial Unicode MS" w:hAnsi="Arial Unicode MS"/>
          <w:b/>
          <w:bCs/>
          <w:color w:val="993300"/>
          <w:szCs w:val="20"/>
        </w:rPr>
        <w:t>法規】</w:t>
      </w:r>
      <w:r w:rsidR="000A0B66" w:rsidRPr="00A305C5">
        <w:rPr>
          <w:rFonts w:ascii="標楷體" w:eastAsia="標楷體" w:hAnsi="標楷體" w:hint="eastAsia"/>
          <w:shadow/>
          <w:color w:val="000000"/>
          <w:sz w:val="32"/>
        </w:rPr>
        <w:t>大陸居民赴臺灣地區旅遊管理辦法</w:t>
      </w:r>
    </w:p>
    <w:p w:rsidR="002A00C9" w:rsidRPr="002C7B09" w:rsidRDefault="002A00C9" w:rsidP="00806F82">
      <w:pPr>
        <w:jc w:val="both"/>
        <w:rPr>
          <w:rFonts w:ascii="Arial Unicode MS" w:hAnsi="Arial Unicode MS"/>
          <w:color w:val="666699"/>
        </w:rPr>
      </w:pPr>
      <w:r w:rsidRPr="002C7B09">
        <w:rPr>
          <w:rFonts w:ascii="Arial Unicode MS" w:hAnsi="Arial Unicode MS"/>
          <w:b/>
          <w:bCs/>
          <w:color w:val="993300"/>
        </w:rPr>
        <w:t>【</w:t>
      </w:r>
      <w:r w:rsidRPr="002C7B09">
        <w:rPr>
          <w:rFonts w:ascii="Arial Unicode MS" w:hAnsi="Arial Unicode MS" w:hint="eastAsia"/>
          <w:b/>
          <w:bCs/>
          <w:color w:val="993300"/>
        </w:rPr>
        <w:t>發布單位</w:t>
      </w:r>
      <w:r w:rsidRPr="002C7B09">
        <w:rPr>
          <w:rFonts w:ascii="Arial Unicode MS" w:hAnsi="Arial Unicode MS"/>
          <w:b/>
          <w:bCs/>
          <w:color w:val="993300"/>
        </w:rPr>
        <w:t>】</w:t>
      </w:r>
      <w:r w:rsidR="005E205B" w:rsidRPr="005E205B">
        <w:rPr>
          <w:rStyle w:val="a8"/>
          <w:rFonts w:ascii="新細明體" w:hAnsi="新細明體" w:hint="eastAsia"/>
          <w:b w:val="0"/>
          <w:szCs w:val="27"/>
        </w:rPr>
        <w:t>國家旅遊局、公安部、國務院臺灣事務辦公室</w:t>
      </w:r>
    </w:p>
    <w:p w:rsidR="002A00C9" w:rsidRPr="002C7B09" w:rsidRDefault="002A00C9" w:rsidP="00806F82">
      <w:pPr>
        <w:jc w:val="both"/>
        <w:rPr>
          <w:rFonts w:ascii="Arial Unicode MS" w:hAnsi="Arial Unicode MS"/>
          <w:color w:val="993300"/>
        </w:rPr>
      </w:pPr>
      <w:r w:rsidRPr="002C7B09">
        <w:rPr>
          <w:rFonts w:ascii="Arial Unicode MS" w:hAnsi="Arial Unicode MS"/>
          <w:b/>
          <w:bCs/>
          <w:color w:val="993300"/>
        </w:rPr>
        <w:t>【</w:t>
      </w:r>
      <w:r w:rsidR="00D93244" w:rsidRPr="002C7B09">
        <w:rPr>
          <w:rFonts w:ascii="Arial Unicode MS" w:hAnsi="Arial Unicode MS" w:hint="eastAsia"/>
          <w:b/>
          <w:color w:val="993300"/>
          <w:szCs w:val="21"/>
        </w:rPr>
        <w:t>頒</w:t>
      </w:r>
      <w:r w:rsidR="00EA7D2E" w:rsidRPr="002C7B09">
        <w:rPr>
          <w:rFonts w:ascii="Arial Unicode MS" w:hAnsi="Arial Unicode MS" w:hint="eastAsia"/>
          <w:b/>
          <w:color w:val="993300"/>
        </w:rPr>
        <w:t>布</w:t>
      </w:r>
      <w:r w:rsidRPr="002C7B09">
        <w:rPr>
          <w:rFonts w:ascii="Arial Unicode MS" w:hAnsi="Arial Unicode MS" w:hint="eastAsia"/>
          <w:b/>
          <w:bCs/>
          <w:color w:val="993300"/>
        </w:rPr>
        <w:t>日期</w:t>
      </w:r>
      <w:r w:rsidRPr="002C7B09">
        <w:rPr>
          <w:rFonts w:ascii="Arial Unicode MS" w:hAnsi="Arial Unicode MS"/>
          <w:b/>
          <w:bCs/>
          <w:color w:val="993300"/>
        </w:rPr>
        <w:t>】</w:t>
      </w:r>
      <w:r w:rsidR="00F93EE5" w:rsidRPr="00F93EE5">
        <w:rPr>
          <w:rFonts w:ascii="Arial Unicode MS" w:hAnsi="Arial Unicode MS" w:hint="eastAsia"/>
        </w:rPr>
        <w:t>2017</w:t>
      </w:r>
      <w:r w:rsidR="00F93EE5" w:rsidRPr="00F93EE5">
        <w:rPr>
          <w:rFonts w:ascii="Arial Unicode MS" w:hAnsi="Arial Unicode MS" w:hint="eastAsia"/>
        </w:rPr>
        <w:t>年</w:t>
      </w:r>
      <w:r w:rsidR="00F93EE5" w:rsidRPr="00F93EE5">
        <w:rPr>
          <w:rFonts w:ascii="Arial Unicode MS" w:hAnsi="Arial Unicode MS" w:hint="eastAsia"/>
        </w:rPr>
        <w:t>4</w:t>
      </w:r>
      <w:r w:rsidR="00F93EE5" w:rsidRPr="00F93EE5">
        <w:rPr>
          <w:rFonts w:ascii="Arial Unicode MS" w:hAnsi="Arial Unicode MS" w:hint="eastAsia"/>
        </w:rPr>
        <w:t>月</w:t>
      </w:r>
      <w:r w:rsidR="00F93EE5" w:rsidRPr="00F93EE5">
        <w:rPr>
          <w:rFonts w:ascii="Arial Unicode MS" w:hAnsi="Arial Unicode MS" w:hint="eastAsia"/>
        </w:rPr>
        <w:t>13</w:t>
      </w:r>
      <w:r w:rsidR="00F93EE5" w:rsidRPr="00F93EE5">
        <w:rPr>
          <w:rFonts w:ascii="Arial Unicode MS" w:hAnsi="Arial Unicode MS" w:hint="eastAsia"/>
        </w:rPr>
        <w:t>日</w:t>
      </w:r>
      <w:bookmarkStart w:id="1" w:name="_GoBack"/>
      <w:bookmarkEnd w:id="1"/>
    </w:p>
    <w:p w:rsidR="007D1124" w:rsidRDefault="002A00C9" w:rsidP="007D1124">
      <w:pPr>
        <w:jc w:val="both"/>
        <w:rPr>
          <w:rFonts w:ascii="Arial Unicode MS" w:hAnsi="Arial Unicode MS"/>
        </w:rPr>
      </w:pPr>
      <w:r w:rsidRPr="002C7B09">
        <w:rPr>
          <w:rFonts w:ascii="Arial Unicode MS" w:hAnsi="Arial Unicode MS"/>
          <w:b/>
          <w:bCs/>
          <w:color w:val="993300"/>
        </w:rPr>
        <w:t>【</w:t>
      </w:r>
      <w:r w:rsidRPr="002C7B09">
        <w:rPr>
          <w:rFonts w:ascii="Arial Unicode MS" w:hAnsi="Arial Unicode MS" w:hint="eastAsia"/>
          <w:b/>
          <w:bCs/>
          <w:color w:val="993300"/>
        </w:rPr>
        <w:t>實施日期</w:t>
      </w:r>
      <w:r w:rsidRPr="002C7B09">
        <w:rPr>
          <w:rFonts w:ascii="Arial Unicode MS" w:hAnsi="Arial Unicode MS"/>
          <w:b/>
          <w:bCs/>
          <w:color w:val="993300"/>
        </w:rPr>
        <w:t>】</w:t>
      </w:r>
      <w:r w:rsidR="00F93EE5" w:rsidRPr="00F93EE5">
        <w:rPr>
          <w:rFonts w:ascii="Arial Unicode MS" w:hAnsi="Arial Unicode MS" w:hint="eastAsia"/>
        </w:rPr>
        <w:t>2017</w:t>
      </w:r>
      <w:r w:rsidR="00F93EE5" w:rsidRPr="00F93EE5">
        <w:rPr>
          <w:rFonts w:ascii="Arial Unicode MS" w:hAnsi="Arial Unicode MS" w:hint="eastAsia"/>
        </w:rPr>
        <w:t>年</w:t>
      </w:r>
      <w:r w:rsidR="00F93EE5" w:rsidRPr="00F93EE5">
        <w:rPr>
          <w:rFonts w:ascii="Arial Unicode MS" w:hAnsi="Arial Unicode MS" w:hint="eastAsia"/>
        </w:rPr>
        <w:t>4</w:t>
      </w:r>
      <w:r w:rsidR="00F93EE5" w:rsidRPr="00F93EE5">
        <w:rPr>
          <w:rFonts w:ascii="Arial Unicode MS" w:hAnsi="Arial Unicode MS" w:hint="eastAsia"/>
        </w:rPr>
        <w:t>月</w:t>
      </w:r>
      <w:r w:rsidR="00F93EE5" w:rsidRPr="00F93EE5">
        <w:rPr>
          <w:rFonts w:ascii="Arial Unicode MS" w:hAnsi="Arial Unicode MS" w:hint="eastAsia"/>
        </w:rPr>
        <w:t>13</w:t>
      </w:r>
      <w:r w:rsidR="00F93EE5" w:rsidRPr="00F93EE5">
        <w:rPr>
          <w:rFonts w:ascii="Arial Unicode MS" w:hAnsi="Arial Unicode MS" w:hint="eastAsia"/>
        </w:rPr>
        <w:t>日</w:t>
      </w:r>
    </w:p>
    <w:p w:rsidR="00F93EE5" w:rsidRDefault="00F93EE5" w:rsidP="007D1124">
      <w:pPr>
        <w:jc w:val="both"/>
        <w:rPr>
          <w:rFonts w:ascii="Arial Unicode MS" w:hAnsi="Arial Unicode MS"/>
        </w:rPr>
      </w:pPr>
    </w:p>
    <w:p w:rsidR="007D1124" w:rsidRPr="00F93EE5" w:rsidRDefault="001F4F28" w:rsidP="00F93EE5">
      <w:pPr>
        <w:pStyle w:val="1"/>
        <w:snapToGrid w:val="0"/>
        <w:spacing w:beforeLines="30" w:before="108" w:afterLines="30" w:after="108"/>
        <w:textAlignment w:val="auto"/>
        <w:rPr>
          <w:color w:val="990000"/>
        </w:rPr>
      </w:pPr>
      <w:r w:rsidRPr="00F93EE5">
        <w:rPr>
          <w:color w:val="990000"/>
        </w:rPr>
        <w:t>【</w:t>
      </w:r>
      <w:r w:rsidR="002A00C9" w:rsidRPr="00F93EE5">
        <w:rPr>
          <w:rFonts w:hint="eastAsia"/>
          <w:color w:val="990000"/>
        </w:rPr>
        <w:t>法規沿革</w:t>
      </w:r>
      <w:r w:rsidR="002A00C9" w:rsidRPr="00F93EE5">
        <w:rPr>
          <w:color w:val="990000"/>
        </w:rPr>
        <w:t>】</w:t>
      </w:r>
    </w:p>
    <w:p w:rsidR="00F93EE5" w:rsidRPr="00F93EE5" w:rsidRDefault="00F93EE5" w:rsidP="00F93EE5">
      <w:pPr>
        <w:ind w:left="142"/>
        <w:rPr>
          <w:rFonts w:ascii="Arial Unicode MS" w:hAnsi="Arial Unicode MS"/>
          <w:sz w:val="18"/>
        </w:rPr>
      </w:pPr>
      <w:r w:rsidRPr="00F93EE5">
        <w:rPr>
          <w:rFonts w:ascii="Arial Unicode MS" w:hAnsi="Arial Unicode MS" w:hint="eastAsia"/>
          <w:b/>
          <w:sz w:val="18"/>
        </w:rPr>
        <w:t>‧</w:t>
      </w:r>
      <w:r w:rsidRPr="00F93EE5">
        <w:rPr>
          <w:rFonts w:ascii="Arial Unicode MS" w:hAnsi="Arial Unicode MS" w:hint="eastAsia"/>
          <w:sz w:val="18"/>
        </w:rPr>
        <w:t>2006</w:t>
      </w:r>
      <w:r w:rsidRPr="00F93EE5">
        <w:rPr>
          <w:rFonts w:ascii="Arial Unicode MS" w:hAnsi="Arial Unicode MS" w:hint="eastAsia"/>
          <w:sz w:val="18"/>
        </w:rPr>
        <w:t>年</w:t>
      </w:r>
      <w:r w:rsidRPr="00F93EE5">
        <w:rPr>
          <w:rFonts w:ascii="Arial Unicode MS" w:hAnsi="Arial Unicode MS" w:hint="eastAsia"/>
          <w:sz w:val="18"/>
        </w:rPr>
        <w:t>4</w:t>
      </w:r>
      <w:r w:rsidRPr="00F93EE5">
        <w:rPr>
          <w:rFonts w:ascii="Arial Unicode MS" w:hAnsi="Arial Unicode MS" w:hint="eastAsia"/>
          <w:sz w:val="18"/>
        </w:rPr>
        <w:t>月</w:t>
      </w:r>
      <w:r w:rsidRPr="00F93EE5">
        <w:rPr>
          <w:rFonts w:ascii="Arial Unicode MS" w:hAnsi="Arial Unicode MS" w:hint="eastAsia"/>
          <w:sz w:val="18"/>
        </w:rPr>
        <w:t>16</w:t>
      </w:r>
      <w:r w:rsidRPr="00F93EE5">
        <w:rPr>
          <w:rFonts w:ascii="Arial Unicode MS" w:hAnsi="Arial Unicode MS" w:hint="eastAsia"/>
          <w:sz w:val="18"/>
        </w:rPr>
        <w:t>日國家旅遊局、公安部、國務院臺灣事務辦公室令第</w:t>
      </w:r>
      <w:r w:rsidRPr="00F93EE5">
        <w:rPr>
          <w:rFonts w:ascii="Arial Unicode MS" w:hAnsi="Arial Unicode MS" w:hint="eastAsia"/>
          <w:sz w:val="18"/>
        </w:rPr>
        <w:t>26</w:t>
      </w:r>
      <w:r w:rsidRPr="00F93EE5">
        <w:rPr>
          <w:rFonts w:ascii="Arial Unicode MS" w:hAnsi="Arial Unicode MS" w:hint="eastAsia"/>
          <w:sz w:val="18"/>
        </w:rPr>
        <w:t>號公佈，自公佈之日起施行</w:t>
      </w:r>
      <w:r w:rsidRPr="00030781">
        <w:rPr>
          <w:rFonts w:ascii="Arial Unicode MS" w:hAnsi="Arial Unicode MS" w:hint="eastAsia"/>
          <w:color w:val="FFFFFF"/>
          <w:sz w:val="18"/>
        </w:rPr>
        <w:t>*</w:t>
      </w:r>
    </w:p>
    <w:p w:rsidR="00F93EE5" w:rsidRPr="00F93EE5" w:rsidRDefault="00F93EE5" w:rsidP="00F93EE5">
      <w:pPr>
        <w:ind w:left="142"/>
        <w:rPr>
          <w:rFonts w:ascii="Arial Unicode MS" w:hAnsi="Arial Unicode MS"/>
          <w:sz w:val="18"/>
        </w:rPr>
      </w:pPr>
      <w:r w:rsidRPr="00F93EE5">
        <w:rPr>
          <w:rFonts w:ascii="Arial Unicode MS" w:hAnsi="Arial Unicode MS" w:hint="eastAsia"/>
          <w:b/>
          <w:sz w:val="18"/>
        </w:rPr>
        <w:t>‧</w:t>
      </w:r>
      <w:r w:rsidRPr="00F93EE5">
        <w:rPr>
          <w:rFonts w:ascii="Arial Unicode MS" w:hAnsi="Arial Unicode MS" w:hint="eastAsia"/>
          <w:sz w:val="18"/>
        </w:rPr>
        <w:t>2011</w:t>
      </w:r>
      <w:r w:rsidRPr="00F93EE5">
        <w:rPr>
          <w:rFonts w:ascii="Arial Unicode MS" w:hAnsi="Arial Unicode MS" w:hint="eastAsia"/>
          <w:sz w:val="18"/>
        </w:rPr>
        <w:t>年</w:t>
      </w:r>
      <w:r w:rsidRPr="00F93EE5">
        <w:rPr>
          <w:rFonts w:ascii="Arial Unicode MS" w:hAnsi="Arial Unicode MS" w:hint="eastAsia"/>
          <w:sz w:val="18"/>
        </w:rPr>
        <w:t>6</w:t>
      </w:r>
      <w:r w:rsidRPr="00F93EE5">
        <w:rPr>
          <w:rFonts w:ascii="Arial Unicode MS" w:hAnsi="Arial Unicode MS" w:hint="eastAsia"/>
          <w:sz w:val="18"/>
        </w:rPr>
        <w:t>月</w:t>
      </w:r>
      <w:r w:rsidRPr="00F93EE5">
        <w:rPr>
          <w:rFonts w:ascii="Arial Unicode MS" w:hAnsi="Arial Unicode MS" w:hint="eastAsia"/>
          <w:sz w:val="18"/>
        </w:rPr>
        <w:t>20</w:t>
      </w:r>
      <w:r w:rsidRPr="00F93EE5">
        <w:rPr>
          <w:rFonts w:ascii="Arial Unicode MS" w:hAnsi="Arial Unicode MS" w:hint="eastAsia"/>
          <w:sz w:val="18"/>
        </w:rPr>
        <w:t>日國家旅遊局、公安部、國務院臺灣事務辦公室令第</w:t>
      </w:r>
      <w:r w:rsidRPr="00F93EE5">
        <w:rPr>
          <w:rFonts w:ascii="Arial Unicode MS" w:hAnsi="Arial Unicode MS" w:hint="eastAsia"/>
          <w:sz w:val="18"/>
        </w:rPr>
        <w:t>37</w:t>
      </w:r>
      <w:r w:rsidRPr="00F93EE5">
        <w:rPr>
          <w:rFonts w:ascii="Arial Unicode MS" w:hAnsi="Arial Unicode MS" w:hint="eastAsia"/>
          <w:sz w:val="18"/>
        </w:rPr>
        <w:t>號公佈、自公佈之日起施行的《國家旅遊局、公安部、國務院臺灣事務辦公室關於修改〈大陸居民赴臺灣地區旅遊管理辦法〉的決定》第一次修改</w:t>
      </w:r>
      <w:r w:rsidRPr="00F93EE5">
        <w:rPr>
          <w:rFonts w:ascii="Arial Unicode MS" w:hAnsi="Arial Unicode MS" w:hint="eastAsia"/>
          <w:color w:val="FFFFFF"/>
          <w:sz w:val="18"/>
        </w:rPr>
        <w:t>*</w:t>
      </w:r>
    </w:p>
    <w:p w:rsidR="00F93EE5" w:rsidRDefault="00F93EE5" w:rsidP="00F93EE5">
      <w:pPr>
        <w:ind w:left="142"/>
        <w:rPr>
          <w:rFonts w:ascii="Arial Unicode MS" w:hAnsi="Arial Unicode MS"/>
          <w:color w:val="FFFFFF"/>
          <w:sz w:val="18"/>
        </w:rPr>
      </w:pPr>
      <w:r w:rsidRPr="00F93EE5">
        <w:rPr>
          <w:rFonts w:ascii="Arial Unicode MS" w:hAnsi="Arial Unicode MS" w:hint="eastAsia"/>
          <w:b/>
          <w:sz w:val="18"/>
        </w:rPr>
        <w:t>‧</w:t>
      </w:r>
      <w:r w:rsidRPr="00F93EE5">
        <w:rPr>
          <w:rFonts w:ascii="Arial Unicode MS" w:hAnsi="Arial Unicode MS" w:hint="eastAsia"/>
          <w:sz w:val="18"/>
        </w:rPr>
        <w:t>2017</w:t>
      </w:r>
      <w:r w:rsidRPr="00F93EE5">
        <w:rPr>
          <w:rFonts w:ascii="Arial Unicode MS" w:hAnsi="Arial Unicode MS" w:hint="eastAsia"/>
          <w:sz w:val="18"/>
        </w:rPr>
        <w:t>年</w:t>
      </w:r>
      <w:r w:rsidRPr="00F93EE5">
        <w:rPr>
          <w:rFonts w:ascii="Arial Unicode MS" w:hAnsi="Arial Unicode MS" w:hint="eastAsia"/>
          <w:sz w:val="18"/>
        </w:rPr>
        <w:t>4</w:t>
      </w:r>
      <w:r w:rsidRPr="00F93EE5">
        <w:rPr>
          <w:rFonts w:ascii="Arial Unicode MS" w:hAnsi="Arial Unicode MS" w:hint="eastAsia"/>
          <w:sz w:val="18"/>
        </w:rPr>
        <w:t>月</w:t>
      </w:r>
      <w:r w:rsidRPr="00F93EE5">
        <w:rPr>
          <w:rFonts w:ascii="Arial Unicode MS" w:hAnsi="Arial Unicode MS" w:hint="eastAsia"/>
          <w:sz w:val="18"/>
        </w:rPr>
        <w:t>13</w:t>
      </w:r>
      <w:r w:rsidRPr="00F93EE5">
        <w:rPr>
          <w:rFonts w:ascii="Arial Unicode MS" w:hAnsi="Arial Unicode MS" w:hint="eastAsia"/>
          <w:sz w:val="18"/>
        </w:rPr>
        <w:t>日國家旅遊局、公安部、國務院臺灣事務辦公室令第</w:t>
      </w:r>
      <w:r w:rsidRPr="00F93EE5">
        <w:rPr>
          <w:rFonts w:ascii="Arial Unicode MS" w:hAnsi="Arial Unicode MS" w:hint="eastAsia"/>
          <w:sz w:val="18"/>
        </w:rPr>
        <w:t>43</w:t>
      </w:r>
      <w:r w:rsidRPr="00F93EE5">
        <w:rPr>
          <w:rFonts w:ascii="Arial Unicode MS" w:hAnsi="Arial Unicode MS" w:hint="eastAsia"/>
          <w:sz w:val="18"/>
        </w:rPr>
        <w:t>號公佈、自公佈之日起施行的《國家旅遊局</w:t>
      </w:r>
      <w:r>
        <w:rPr>
          <w:rFonts w:ascii="Arial Unicode MS" w:hAnsi="Arial Unicode MS" w:hint="eastAsia"/>
          <w:sz w:val="18"/>
        </w:rPr>
        <w:t>公</w:t>
      </w:r>
      <w:r w:rsidRPr="00F93EE5">
        <w:rPr>
          <w:rFonts w:ascii="Arial Unicode MS" w:hAnsi="Arial Unicode MS" w:hint="eastAsia"/>
          <w:sz w:val="18"/>
        </w:rPr>
        <w:t>安部</w:t>
      </w:r>
      <w:r w:rsidRPr="00F93EE5">
        <w:rPr>
          <w:rFonts w:ascii="Arial Unicode MS" w:hAnsi="Arial Unicode MS" w:hint="eastAsia"/>
          <w:sz w:val="18"/>
        </w:rPr>
        <w:t xml:space="preserve"> </w:t>
      </w:r>
      <w:r w:rsidRPr="00F93EE5">
        <w:rPr>
          <w:rFonts w:ascii="Arial Unicode MS" w:hAnsi="Arial Unicode MS" w:hint="eastAsia"/>
          <w:sz w:val="18"/>
        </w:rPr>
        <w:t>國務院臺灣事務辦公室關於修改〈大陸居民赴臺灣地區旅遊管理辦法〉的決定》第二次修改</w:t>
      </w:r>
      <w:r w:rsidRPr="00F93EE5">
        <w:rPr>
          <w:rFonts w:ascii="Arial Unicode MS" w:hAnsi="Arial Unicode MS" w:hint="eastAsia"/>
          <w:color w:val="FFFFFF"/>
          <w:sz w:val="18"/>
        </w:rPr>
        <w:t>*</w:t>
      </w:r>
    </w:p>
    <w:p w:rsidR="00F93EE5" w:rsidRDefault="00F93EE5" w:rsidP="00F93EE5"/>
    <w:p w:rsidR="007F3D75" w:rsidRDefault="007F3D75" w:rsidP="00CB0E6F">
      <w:pPr>
        <w:pStyle w:val="1"/>
        <w:snapToGrid w:val="0"/>
        <w:spacing w:before="100" w:beforeAutospacing="1" w:after="100" w:afterAutospacing="1"/>
        <w:textAlignment w:val="auto"/>
        <w:rPr>
          <w:color w:val="990000"/>
        </w:rPr>
      </w:pPr>
      <w:bookmarkStart w:id="2" w:name="_第一章__總_則"/>
      <w:bookmarkEnd w:id="2"/>
      <w:r w:rsidRPr="00CB0E6F">
        <w:rPr>
          <w:color w:val="990000"/>
        </w:rPr>
        <w:t>【</w:t>
      </w:r>
      <w:r w:rsidRPr="00CB0E6F">
        <w:rPr>
          <w:rFonts w:hint="eastAsia"/>
          <w:color w:val="990000"/>
        </w:rPr>
        <w:t>法規內容</w:t>
      </w:r>
      <w:r w:rsidRPr="00CB0E6F">
        <w:rPr>
          <w:color w:val="990000"/>
        </w:rPr>
        <w:t>】</w:t>
      </w:r>
    </w:p>
    <w:p w:rsidR="00F93EE5" w:rsidRDefault="00F93EE5" w:rsidP="007D0CF6">
      <w:pPr>
        <w:pStyle w:val="2"/>
        <w:jc w:val="both"/>
      </w:pPr>
      <w:bookmarkStart w:id="3" w:name="a1"/>
      <w:bookmarkEnd w:id="3"/>
      <w:r>
        <w:t>第</w:t>
      </w:r>
      <w:r>
        <w:t>1</w:t>
      </w:r>
      <w:r>
        <w:t>條</w:t>
      </w:r>
    </w:p>
    <w:p w:rsidR="00F93EE5" w:rsidRDefault="00F93EE5" w:rsidP="007D0CF6">
      <w:pPr>
        <w:ind w:left="142"/>
        <w:jc w:val="both"/>
      </w:pPr>
      <w:r>
        <w:t xml:space="preserve">　　爲規範大陸居民赴台灣地區旅遊，根據《</w:t>
      </w:r>
      <w:hyperlink r:id="rId16" w:history="1">
        <w:r w:rsidRPr="00F93EE5">
          <w:rPr>
            <w:rStyle w:val="a3"/>
            <w:rFonts w:ascii="Times New Roman" w:hAnsi="Times New Roman"/>
          </w:rPr>
          <w:t>旅遊法</w:t>
        </w:r>
      </w:hyperlink>
      <w:r>
        <w:t>》、《</w:t>
      </w:r>
      <w:hyperlink r:id="rId17" w:history="1">
        <w:r w:rsidRPr="00F93EE5">
          <w:rPr>
            <w:rStyle w:val="a3"/>
            <w:rFonts w:ascii="Times New Roman" w:hAnsi="Times New Roman"/>
          </w:rPr>
          <w:t>旅行社條例</w:t>
        </w:r>
      </w:hyperlink>
      <w:r>
        <w:t>》和《</w:t>
      </w:r>
      <w:hyperlink r:id="rId18" w:history="1">
        <w:r w:rsidRPr="00F93EE5">
          <w:rPr>
            <w:rStyle w:val="a3"/>
            <w:rFonts w:ascii="Times New Roman" w:hAnsi="Times New Roman"/>
          </w:rPr>
          <w:t>中國公民往來</w:t>
        </w:r>
        <w:r w:rsidRPr="00F93EE5">
          <w:rPr>
            <w:rStyle w:val="a3"/>
            <w:rFonts w:ascii="Times New Roman" w:hAnsi="Times New Roman" w:hint="eastAsia"/>
          </w:rPr>
          <w:t>臺灣</w:t>
        </w:r>
        <w:r w:rsidRPr="00F93EE5">
          <w:rPr>
            <w:rStyle w:val="a3"/>
            <w:rFonts w:ascii="Times New Roman" w:hAnsi="Times New Roman"/>
          </w:rPr>
          <w:t>地區管理辦法</w:t>
        </w:r>
      </w:hyperlink>
      <w:r>
        <w:t>》，制定本辦法。</w:t>
      </w:r>
    </w:p>
    <w:p w:rsidR="00F93EE5" w:rsidRDefault="00F93EE5" w:rsidP="007D0CF6">
      <w:pPr>
        <w:pStyle w:val="2"/>
        <w:jc w:val="both"/>
      </w:pPr>
      <w:bookmarkStart w:id="4" w:name="a2"/>
      <w:bookmarkEnd w:id="4"/>
      <w:r>
        <w:t>第</w:t>
      </w:r>
      <w:r>
        <w:t>2</w:t>
      </w:r>
      <w:r>
        <w:t>條</w:t>
      </w:r>
    </w:p>
    <w:p w:rsidR="00F93EE5" w:rsidRDefault="00F93EE5" w:rsidP="007D0CF6">
      <w:pPr>
        <w:ind w:left="142"/>
        <w:jc w:val="both"/>
      </w:pPr>
      <w:r>
        <w:t xml:space="preserve">　　大陸居民赴台灣地區旅遊（以下簡稱赴台旅遊），可采取團隊旅遊或者個人旅遊兩種形式。</w:t>
      </w:r>
    </w:p>
    <w:p w:rsidR="00F93EE5" w:rsidRPr="00F93EE5" w:rsidRDefault="00F93EE5" w:rsidP="007D0CF6">
      <w:pPr>
        <w:ind w:left="142"/>
        <w:jc w:val="both"/>
        <w:rPr>
          <w:color w:val="17365D"/>
        </w:rPr>
      </w:pPr>
      <w:r w:rsidRPr="00F93EE5">
        <w:rPr>
          <w:color w:val="17365D"/>
        </w:rPr>
        <w:t xml:space="preserve">　　大陸居民赴台團隊旅遊應當由指定經營大陸居民赴台旅遊業務的旅行社（以下簡稱組團社）組織，以團隊形式整團往返。旅遊團成員在台灣期間應當集體活動。</w:t>
      </w:r>
    </w:p>
    <w:p w:rsidR="00F93EE5" w:rsidRDefault="00F93EE5" w:rsidP="007D0CF6">
      <w:pPr>
        <w:ind w:left="142"/>
        <w:jc w:val="both"/>
      </w:pPr>
      <w:r>
        <w:t xml:space="preserve">　　大陸居民赴台個人旅遊可自行前往台灣地區，在台灣期間可自行活動。</w:t>
      </w:r>
    </w:p>
    <w:p w:rsidR="00F93EE5" w:rsidRDefault="00F93EE5" w:rsidP="007D0CF6">
      <w:pPr>
        <w:pStyle w:val="2"/>
        <w:jc w:val="both"/>
      </w:pPr>
      <w:bookmarkStart w:id="5" w:name="a3"/>
      <w:bookmarkEnd w:id="5"/>
      <w:r>
        <w:t>第</w:t>
      </w:r>
      <w:r>
        <w:t>3</w:t>
      </w:r>
      <w:r>
        <w:t>條</w:t>
      </w:r>
    </w:p>
    <w:p w:rsidR="00F93EE5" w:rsidRDefault="00F93EE5" w:rsidP="007D0CF6">
      <w:pPr>
        <w:ind w:left="142"/>
        <w:jc w:val="both"/>
      </w:pPr>
      <w:r>
        <w:t xml:space="preserve">　　組團社由國家旅遊局會同有關部門，從取得出境旅遊業務經營許可并提出經營赴台旅遊業務申請的旅行社範圍内指定，但國家另有規定的除外。組團社名單由海峽兩岸旅遊交流協會公布。</w:t>
      </w:r>
    </w:p>
    <w:p w:rsidR="00F93EE5" w:rsidRPr="007D0CF6" w:rsidRDefault="00F93EE5" w:rsidP="007D0CF6">
      <w:pPr>
        <w:ind w:left="142"/>
        <w:jc w:val="both"/>
        <w:rPr>
          <w:color w:val="17365D"/>
        </w:rPr>
      </w:pPr>
      <w:r w:rsidRPr="007D0CF6">
        <w:rPr>
          <w:color w:val="17365D"/>
        </w:rPr>
        <w:t xml:space="preserve">　　除被指定的組團社外，任何單位和個人不得經營大陸居民赴台旅遊業務。</w:t>
      </w:r>
    </w:p>
    <w:p w:rsidR="00F93EE5" w:rsidRDefault="00F93EE5" w:rsidP="007D0CF6">
      <w:pPr>
        <w:pStyle w:val="2"/>
        <w:jc w:val="both"/>
      </w:pPr>
      <w:bookmarkStart w:id="6" w:name="a4"/>
      <w:bookmarkEnd w:id="6"/>
      <w:r>
        <w:t>第</w:t>
      </w:r>
      <w:r>
        <w:t>4</w:t>
      </w:r>
      <w:r>
        <w:t>條</w:t>
      </w:r>
    </w:p>
    <w:p w:rsidR="00F93EE5" w:rsidRDefault="00F93EE5" w:rsidP="007D0CF6">
      <w:pPr>
        <w:ind w:left="142"/>
        <w:jc w:val="both"/>
      </w:pPr>
      <w:r>
        <w:t xml:space="preserve">　　台灣地區接待大陸居民赴台旅遊的旅行社（以下簡稱地接社），經大陸有關部門會同國家旅遊局确認後，由海峽兩岸旅遊交流協會公布。</w:t>
      </w:r>
    </w:p>
    <w:p w:rsidR="00F93EE5" w:rsidRDefault="00F93EE5" w:rsidP="007D0CF6">
      <w:pPr>
        <w:pStyle w:val="2"/>
        <w:jc w:val="both"/>
      </w:pPr>
      <w:bookmarkStart w:id="7" w:name="a5"/>
      <w:bookmarkEnd w:id="7"/>
      <w:r>
        <w:t>第</w:t>
      </w:r>
      <w:r>
        <w:t>5</w:t>
      </w:r>
      <w:r>
        <w:t>條</w:t>
      </w:r>
    </w:p>
    <w:p w:rsidR="00F93EE5" w:rsidRDefault="00F93EE5" w:rsidP="007D0CF6">
      <w:pPr>
        <w:ind w:left="142"/>
        <w:jc w:val="both"/>
      </w:pPr>
      <w:r>
        <w:t xml:space="preserve">　　大陸居民赴台團隊旅遊實行配額管理。配額由國家旅遊局會同有關部門确認後下達給組團社。</w:t>
      </w:r>
    </w:p>
    <w:p w:rsidR="00F93EE5" w:rsidRDefault="00F93EE5" w:rsidP="007D0CF6">
      <w:pPr>
        <w:pStyle w:val="2"/>
        <w:jc w:val="both"/>
      </w:pPr>
      <w:bookmarkStart w:id="8" w:name="a6"/>
      <w:bookmarkEnd w:id="8"/>
      <w:r>
        <w:lastRenderedPageBreak/>
        <w:t>第</w:t>
      </w:r>
      <w:r>
        <w:t>6</w:t>
      </w:r>
      <w:r>
        <w:t>條</w:t>
      </w:r>
    </w:p>
    <w:p w:rsidR="00F93EE5" w:rsidRDefault="00F93EE5" w:rsidP="007D0CF6">
      <w:pPr>
        <w:ind w:left="142"/>
        <w:jc w:val="both"/>
      </w:pPr>
      <w:r>
        <w:t xml:space="preserve">　　組團社在開展組織大陸居民赴台旅遊業務前，應當與地接社簽訂合同、建立合作關系。</w:t>
      </w:r>
    </w:p>
    <w:p w:rsidR="00F93EE5" w:rsidRPr="00F93EE5" w:rsidRDefault="00F93EE5" w:rsidP="007D0CF6">
      <w:pPr>
        <w:ind w:left="142"/>
        <w:jc w:val="both"/>
        <w:rPr>
          <w:color w:val="17365D"/>
        </w:rPr>
      </w:pPr>
      <w:r w:rsidRPr="00F93EE5">
        <w:rPr>
          <w:color w:val="17365D"/>
        </w:rPr>
        <w:t xml:space="preserve">　　大陸居民赴台旅遊團隊出發前，組團社應當向國家旅遊局旅遊團隊管理和服務資訊平台提供符合規定的赴台旅遊團隊資訊。旅遊團隊資訊實行一團一登記。</w:t>
      </w:r>
    </w:p>
    <w:p w:rsidR="00F93EE5" w:rsidRDefault="00F93EE5" w:rsidP="007D0CF6">
      <w:pPr>
        <w:pStyle w:val="2"/>
        <w:jc w:val="both"/>
      </w:pPr>
      <w:bookmarkStart w:id="9" w:name="a7"/>
      <w:bookmarkEnd w:id="9"/>
      <w:r>
        <w:t>第</w:t>
      </w:r>
      <w:r>
        <w:t>7</w:t>
      </w:r>
      <w:r>
        <w:t>條</w:t>
      </w:r>
    </w:p>
    <w:p w:rsidR="00F93EE5" w:rsidRDefault="00F93EE5" w:rsidP="007D0CF6">
      <w:pPr>
        <w:ind w:left="142"/>
        <w:jc w:val="both"/>
      </w:pPr>
      <w:r>
        <w:t xml:space="preserve">　　組團社應當爲每個團隊委派領隊</w:t>
      </w:r>
      <w:r>
        <w:t>,</w:t>
      </w:r>
      <w:r>
        <w:t>并要求地接社派導遊全程陪同。</w:t>
      </w:r>
    </w:p>
    <w:p w:rsidR="00F93EE5" w:rsidRPr="007D0CF6" w:rsidRDefault="00F93EE5" w:rsidP="007D0CF6">
      <w:pPr>
        <w:ind w:left="142"/>
        <w:jc w:val="both"/>
        <w:rPr>
          <w:color w:val="17365D"/>
        </w:rPr>
      </w:pPr>
      <w:r w:rsidRPr="007D0CF6">
        <w:rPr>
          <w:color w:val="17365D"/>
        </w:rPr>
        <w:t xml:space="preserve">　　赴台旅遊領隊應當具備法律、法規規定的領隊條件，經省級旅遊主管部門培訓，由國家旅遊局指定。</w:t>
      </w:r>
    </w:p>
    <w:p w:rsidR="00F93EE5" w:rsidRDefault="00F93EE5" w:rsidP="007D0CF6">
      <w:pPr>
        <w:pStyle w:val="2"/>
        <w:jc w:val="both"/>
      </w:pPr>
      <w:bookmarkStart w:id="10" w:name="a8"/>
      <w:bookmarkEnd w:id="10"/>
      <w:r>
        <w:t>第</w:t>
      </w:r>
      <w:r>
        <w:t>8</w:t>
      </w:r>
      <w:r>
        <w:t>條</w:t>
      </w:r>
    </w:p>
    <w:p w:rsidR="00F93EE5" w:rsidRDefault="00F93EE5" w:rsidP="007D0CF6">
      <w:pPr>
        <w:ind w:left="142"/>
        <w:jc w:val="both"/>
      </w:pPr>
      <w:r>
        <w:t xml:space="preserve">　　大陸居民赴台旅遊期間，不得從事或者參與涉及賭博、色情、毒品等内容及有損兩岸關系的活動。</w:t>
      </w:r>
    </w:p>
    <w:p w:rsidR="00F93EE5" w:rsidRPr="007D0CF6" w:rsidRDefault="00F93EE5" w:rsidP="007D0CF6">
      <w:pPr>
        <w:ind w:left="142"/>
        <w:jc w:val="both"/>
        <w:rPr>
          <w:color w:val="17365D"/>
        </w:rPr>
      </w:pPr>
      <w:r w:rsidRPr="007D0CF6">
        <w:rPr>
          <w:color w:val="17365D"/>
        </w:rPr>
        <w:t xml:space="preserve">　　組團社不得組織旅遊團成員參與前款活動，并應當要求地接社不得引導或者組織旅遊團成員參與前款活動。</w:t>
      </w:r>
    </w:p>
    <w:p w:rsidR="00F93EE5" w:rsidRDefault="00F93EE5" w:rsidP="007D0CF6">
      <w:pPr>
        <w:pStyle w:val="2"/>
        <w:jc w:val="both"/>
      </w:pPr>
      <w:bookmarkStart w:id="11" w:name="a9"/>
      <w:bookmarkEnd w:id="11"/>
      <w:r>
        <w:t>第</w:t>
      </w:r>
      <w:r>
        <w:t>9</w:t>
      </w:r>
      <w:r>
        <w:t>條</w:t>
      </w:r>
    </w:p>
    <w:p w:rsidR="00F93EE5" w:rsidRDefault="00F93EE5" w:rsidP="007D0CF6">
      <w:pPr>
        <w:ind w:left="142"/>
        <w:jc w:val="both"/>
      </w:pPr>
      <w:r>
        <w:t xml:space="preserve">　　組團社應當要求地接社嚴格按照合同規定的團隊日程安排活動；未經雙方旅行社及旅遊團成員同意，不得變更日程。</w:t>
      </w:r>
    </w:p>
    <w:p w:rsidR="00F93EE5" w:rsidRDefault="00F93EE5" w:rsidP="007D0CF6">
      <w:pPr>
        <w:pStyle w:val="2"/>
        <w:jc w:val="both"/>
      </w:pPr>
      <w:bookmarkStart w:id="12" w:name="a10"/>
      <w:bookmarkEnd w:id="12"/>
      <w:r>
        <w:t>第</w:t>
      </w:r>
      <w:r>
        <w:t>10</w:t>
      </w:r>
      <w:r>
        <w:t>條</w:t>
      </w:r>
    </w:p>
    <w:p w:rsidR="00F93EE5" w:rsidRDefault="00F93EE5" w:rsidP="007D0CF6">
      <w:pPr>
        <w:ind w:left="142"/>
        <w:jc w:val="both"/>
      </w:pPr>
      <w:r>
        <w:t xml:space="preserve">　　大陸居民赴台旅遊應當持有效的《大陸居民往來台灣通行證》，并根據其采取的旅遊形式，辦理團隊旅遊簽註或者個人旅遊簽註。</w:t>
      </w:r>
    </w:p>
    <w:p w:rsidR="00F93EE5" w:rsidRDefault="00F93EE5" w:rsidP="007D0CF6">
      <w:pPr>
        <w:pStyle w:val="2"/>
        <w:jc w:val="both"/>
      </w:pPr>
      <w:bookmarkStart w:id="13" w:name="a11"/>
      <w:bookmarkEnd w:id="13"/>
      <w:r>
        <w:t>第</w:t>
      </w:r>
      <w:r>
        <w:t>11</w:t>
      </w:r>
      <w:r>
        <w:t>條</w:t>
      </w:r>
    </w:p>
    <w:p w:rsidR="00F93EE5" w:rsidRDefault="00F93EE5" w:rsidP="007D0CF6">
      <w:pPr>
        <w:ind w:left="142"/>
        <w:jc w:val="both"/>
      </w:pPr>
      <w:r>
        <w:t xml:space="preserve">　　大陸居民赴台旅遊應當按照有關規定向公安機關出入境管理部門申請辦理《大陸居民往來台灣通行證》及相應簽註。</w:t>
      </w:r>
    </w:p>
    <w:p w:rsidR="00F93EE5" w:rsidRDefault="00F93EE5" w:rsidP="007D0CF6">
      <w:pPr>
        <w:pStyle w:val="2"/>
        <w:jc w:val="both"/>
      </w:pPr>
      <w:bookmarkStart w:id="14" w:name="a12"/>
      <w:bookmarkEnd w:id="14"/>
      <w:r>
        <w:t>第</w:t>
      </w:r>
      <w:r>
        <w:t>12</w:t>
      </w:r>
      <w:r>
        <w:t>條</w:t>
      </w:r>
    </w:p>
    <w:p w:rsidR="00F93EE5" w:rsidRDefault="00F93EE5" w:rsidP="007D0CF6">
      <w:pPr>
        <w:ind w:left="142"/>
        <w:jc w:val="both"/>
      </w:pPr>
      <w:r>
        <w:t xml:space="preserve">　　赴台旅遊團隊應當憑《大陸居民赴台灣地區旅遊團隊名單表》，從大陸對外開放口岸整團出入境。</w:t>
      </w:r>
    </w:p>
    <w:p w:rsidR="00F93EE5" w:rsidRDefault="00F93EE5" w:rsidP="007D0CF6">
      <w:pPr>
        <w:pStyle w:val="2"/>
        <w:jc w:val="both"/>
      </w:pPr>
      <w:bookmarkStart w:id="15" w:name="a13"/>
      <w:bookmarkEnd w:id="15"/>
      <w:r>
        <w:t>第</w:t>
      </w:r>
      <w:r>
        <w:t>13</w:t>
      </w:r>
      <w:r>
        <w:t>條</w:t>
      </w:r>
    </w:p>
    <w:p w:rsidR="00F93EE5" w:rsidRDefault="00F93EE5" w:rsidP="007D0CF6">
      <w:pPr>
        <w:ind w:left="142"/>
        <w:jc w:val="both"/>
      </w:pPr>
      <w:r>
        <w:t xml:space="preserve">　　旅遊團出境前已确定分團入境大陸的，組團社應當事先向有關出入境邊防檢查總站或者省級公安邊防部門備案。</w:t>
      </w:r>
    </w:p>
    <w:p w:rsidR="00F93EE5" w:rsidRPr="00F93EE5" w:rsidRDefault="00F93EE5" w:rsidP="007D0CF6">
      <w:pPr>
        <w:ind w:left="142"/>
        <w:jc w:val="both"/>
        <w:rPr>
          <w:color w:val="17365D"/>
        </w:rPr>
      </w:pPr>
      <w:r w:rsidRPr="00F93EE5">
        <w:rPr>
          <w:color w:val="17365D"/>
        </w:rPr>
        <w:t xml:space="preserve">　　旅遊團成員因緊急情況不能随團入境大陸或者不能按期返回大陸的，組團社應當及時向有關出入境邊防檢查總站或者省級公安邊防部門報告。</w:t>
      </w:r>
    </w:p>
    <w:p w:rsidR="00F93EE5" w:rsidRDefault="00F93EE5" w:rsidP="007D0CF6">
      <w:pPr>
        <w:pStyle w:val="2"/>
        <w:jc w:val="both"/>
      </w:pPr>
      <w:bookmarkStart w:id="16" w:name="a14"/>
      <w:bookmarkEnd w:id="16"/>
      <w:r>
        <w:t>第</w:t>
      </w:r>
      <w:r>
        <w:t>14</w:t>
      </w:r>
      <w:r>
        <w:t>條</w:t>
      </w:r>
    </w:p>
    <w:p w:rsidR="00F93EE5" w:rsidRDefault="00F93EE5" w:rsidP="007D0CF6">
      <w:pPr>
        <w:ind w:left="142"/>
        <w:jc w:val="both"/>
      </w:pPr>
      <w:r>
        <w:t xml:space="preserve">　　赴台旅遊的大陸居民應當按期返回，不得非法滞留。當發生旅遊團成員非法滞留時，組團社應當及時向公安機關及旅遊主管部門報告，并協助做好有關滞留者的遣返和審查工作。</w:t>
      </w:r>
    </w:p>
    <w:p w:rsidR="00F93EE5" w:rsidRDefault="00F93EE5" w:rsidP="007D0CF6">
      <w:pPr>
        <w:pStyle w:val="2"/>
        <w:jc w:val="both"/>
      </w:pPr>
      <w:bookmarkStart w:id="17" w:name="a15"/>
      <w:bookmarkEnd w:id="17"/>
      <w:r>
        <w:t>第</w:t>
      </w:r>
      <w:r>
        <w:t>15</w:t>
      </w:r>
      <w:r>
        <w:t>條</w:t>
      </w:r>
    </w:p>
    <w:p w:rsidR="00F93EE5" w:rsidRDefault="00F93EE5" w:rsidP="007D0CF6">
      <w:pPr>
        <w:ind w:left="142"/>
        <w:jc w:val="both"/>
      </w:pPr>
      <w:r>
        <w:t xml:space="preserve">　　對在台灣地區非法滞留情節嚴重者，公安機關出入境管理部門自其被遣返回大陸之日起，六個月至三年以内不批準其再次出境。</w:t>
      </w:r>
    </w:p>
    <w:p w:rsidR="00F93EE5" w:rsidRDefault="00F93EE5" w:rsidP="007D0CF6">
      <w:pPr>
        <w:pStyle w:val="2"/>
        <w:jc w:val="both"/>
      </w:pPr>
      <w:bookmarkStart w:id="18" w:name="a16"/>
      <w:bookmarkEnd w:id="18"/>
      <w:r>
        <w:lastRenderedPageBreak/>
        <w:t>第</w:t>
      </w:r>
      <w:r>
        <w:t>16</w:t>
      </w:r>
      <w:r>
        <w:t>條</w:t>
      </w:r>
    </w:p>
    <w:p w:rsidR="00F93EE5" w:rsidRDefault="00F93EE5" w:rsidP="007D0CF6">
      <w:pPr>
        <w:ind w:left="142"/>
        <w:jc w:val="both"/>
      </w:pPr>
      <w:r>
        <w:t xml:space="preserve">　　違反本辦法規定，未被指定經營大陸居民赴台旅遊業務，或者旅行社及從業人員有違反本辦法規定行爲的，由旅遊主管部門根據</w:t>
      </w:r>
      <w:r w:rsidR="004F4CB2">
        <w:t>《</w:t>
      </w:r>
      <w:hyperlink r:id="rId19" w:history="1">
        <w:r w:rsidR="004F4CB2" w:rsidRPr="00F93EE5">
          <w:rPr>
            <w:rStyle w:val="a3"/>
            <w:rFonts w:ascii="Times New Roman" w:hAnsi="Times New Roman"/>
          </w:rPr>
          <w:t>旅遊法</w:t>
        </w:r>
      </w:hyperlink>
      <w:r w:rsidR="004F4CB2">
        <w:t>》</w:t>
      </w:r>
      <w:r>
        <w:t>和</w:t>
      </w:r>
      <w:r w:rsidR="004F4CB2">
        <w:t>《</w:t>
      </w:r>
      <w:hyperlink r:id="rId20" w:history="1">
        <w:r w:rsidR="004F4CB2" w:rsidRPr="00F93EE5">
          <w:rPr>
            <w:rStyle w:val="a3"/>
            <w:rFonts w:ascii="Times New Roman" w:hAnsi="Times New Roman"/>
          </w:rPr>
          <w:t>旅行社條例</w:t>
        </w:r>
      </w:hyperlink>
      <w:r w:rsidR="004F4CB2">
        <w:t>》</w:t>
      </w:r>
      <w:r>
        <w:t>等規定予以處罰。有關單位和個人違反其他法律、法規規定的，由有關部門依法予以處理。</w:t>
      </w:r>
    </w:p>
    <w:p w:rsidR="00F93EE5" w:rsidRDefault="00F93EE5" w:rsidP="007D0CF6">
      <w:pPr>
        <w:pStyle w:val="2"/>
        <w:jc w:val="both"/>
      </w:pPr>
      <w:bookmarkStart w:id="19" w:name="a17"/>
      <w:bookmarkEnd w:id="19"/>
      <w:r>
        <w:t>第</w:t>
      </w:r>
      <w:r>
        <w:t>17</w:t>
      </w:r>
      <w:r>
        <w:t>條</w:t>
      </w:r>
    </w:p>
    <w:p w:rsidR="00F93EE5" w:rsidRDefault="00F93EE5" w:rsidP="007D0CF6">
      <w:pPr>
        <w:ind w:left="142"/>
        <w:jc w:val="both"/>
      </w:pPr>
      <w:r>
        <w:t xml:space="preserve">　　本辦法由國家旅遊局、公安部、國務院台灣事務辦公室負責解釋。</w:t>
      </w:r>
    </w:p>
    <w:p w:rsidR="00F93EE5" w:rsidRPr="00F93EE5" w:rsidRDefault="00F93EE5" w:rsidP="007D0CF6">
      <w:pPr>
        <w:pStyle w:val="2"/>
        <w:jc w:val="both"/>
      </w:pPr>
      <w:bookmarkStart w:id="20" w:name="a18"/>
      <w:bookmarkEnd w:id="20"/>
      <w:r w:rsidRPr="00F93EE5">
        <w:t>第</w:t>
      </w:r>
      <w:r w:rsidRPr="00F93EE5">
        <w:t>18</w:t>
      </w:r>
      <w:r w:rsidRPr="00F93EE5">
        <w:t>條</w:t>
      </w:r>
    </w:p>
    <w:p w:rsidR="00F93EE5" w:rsidRDefault="00F93EE5" w:rsidP="007D0CF6">
      <w:pPr>
        <w:ind w:left="142"/>
        <w:jc w:val="both"/>
      </w:pPr>
      <w:r>
        <w:t xml:space="preserve">　　本辦法自發布之日起施行。</w:t>
      </w:r>
    </w:p>
    <w:p w:rsidR="00422423" w:rsidRPr="00C03E87" w:rsidRDefault="00422423" w:rsidP="00894A92">
      <w:pPr>
        <w:ind w:left="142"/>
        <w:jc w:val="both"/>
        <w:rPr>
          <w:rFonts w:ascii="Arial Unicode MS" w:hAnsi="Arial Unicode MS"/>
        </w:rPr>
      </w:pPr>
    </w:p>
    <w:p w:rsidR="00C85C66" w:rsidRPr="00894A92" w:rsidRDefault="00C85C66" w:rsidP="00894A92">
      <w:pPr>
        <w:ind w:left="142"/>
        <w:jc w:val="both"/>
        <w:rPr>
          <w:rFonts w:ascii="Arial Unicode MS" w:hAnsi="Arial Unicode MS"/>
        </w:rPr>
      </w:pPr>
    </w:p>
    <w:p w:rsidR="006838D8" w:rsidRPr="002C7B09" w:rsidRDefault="006838D8" w:rsidP="006838D8">
      <w:pPr>
        <w:ind w:leftChars="50" w:left="100"/>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DB4ABA" w:rsidRPr="00F93EE5" w:rsidRDefault="006838D8" w:rsidP="006838D8">
      <w:pPr>
        <w:ind w:leftChars="71" w:left="142"/>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【編註】本檔法規資料以中華人民共和國國家機關資訊網為依據；本文僅供參考，如需引用，請以正式檔為準。如有發現待更正部份及您所需本站未收編之法規</w:t>
      </w:r>
      <w:r w:rsidRPr="004E7FD5">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21" w:history="1">
        <w:r w:rsidRPr="00233D4E">
          <w:rPr>
            <w:rStyle w:val="a3"/>
            <w:rFonts w:ascii="Arial Unicode MS" w:hAnsi="Arial Unicode MS"/>
            <w:color w:val="5F5F5F"/>
            <w:sz w:val="18"/>
            <w:szCs w:val="20"/>
          </w:rPr>
          <w:t>告知</w:t>
        </w:r>
      </w:hyperlink>
      <w:r w:rsidRPr="004E7FD5">
        <w:rPr>
          <w:rFonts w:ascii="Arial Unicode MS" w:hAnsi="Arial Unicode MS" w:hint="eastAsia"/>
          <w:color w:val="808080"/>
          <w:sz w:val="18"/>
          <w:szCs w:val="20"/>
        </w:rPr>
        <w:t>，謝謝！</w:t>
      </w:r>
    </w:p>
    <w:sectPr w:rsidR="00DB4ABA" w:rsidRPr="00F93EE5">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781" w:rsidRDefault="00030781">
      <w:r>
        <w:separator/>
      </w:r>
    </w:p>
  </w:endnote>
  <w:endnote w:type="continuationSeparator" w:id="0">
    <w:p w:rsidR="00030781" w:rsidRDefault="0003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C0" w:rsidRDefault="00975AC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75AC0" w:rsidRDefault="00975AC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C0" w:rsidRDefault="00975AC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838D8">
      <w:rPr>
        <w:rStyle w:val="a7"/>
        <w:noProof/>
      </w:rPr>
      <w:t>1</w:t>
    </w:r>
    <w:r>
      <w:rPr>
        <w:rStyle w:val="a7"/>
      </w:rPr>
      <w:fldChar w:fldCharType="end"/>
    </w:r>
  </w:p>
  <w:p w:rsidR="00975AC0" w:rsidRPr="00CB0E6F" w:rsidRDefault="00975AC0" w:rsidP="009C7DF2">
    <w:pPr>
      <w:pStyle w:val="a6"/>
      <w:ind w:right="360"/>
      <w:jc w:val="right"/>
      <w:rPr>
        <w:rFonts w:ascii="Arial Unicode MS" w:hAnsi="Arial Unicode MS"/>
        <w:sz w:val="18"/>
      </w:rPr>
    </w:pPr>
    <w:r w:rsidRPr="00CB0E6F">
      <w:rPr>
        <w:rFonts w:ascii="Arial Unicode MS" w:hAnsi="Arial Unicode MS" w:hint="eastAsia"/>
        <w:color w:val="000000"/>
        <w:sz w:val="18"/>
      </w:rPr>
      <w:t>&lt;&lt;</w:t>
    </w:r>
    <w:r w:rsidR="00CB0E6F" w:rsidRPr="00CB0E6F">
      <w:rPr>
        <w:rFonts w:ascii="Arial Unicode MS" w:hAnsi="Arial Unicode MS" w:hint="eastAsia"/>
      </w:rPr>
      <w:t>大陸居民赴臺灣地區旅遊管理辦法</w:t>
    </w:r>
    <w:r w:rsidRPr="00CB0E6F">
      <w:rPr>
        <w:rFonts w:ascii="Arial Unicode MS" w:hAnsi="Arial Unicode MS" w:hint="eastAsia"/>
        <w:color w:val="000000"/>
        <w:sz w:val="18"/>
      </w:rPr>
      <w:t xml:space="preserve">&gt;&gt; </w:t>
    </w:r>
    <w:r w:rsidRPr="00CB0E6F">
      <w:rPr>
        <w:rFonts w:ascii="Arial Unicode MS" w:hAnsi="Arial Unicode MS"/>
        <w:sz w:val="18"/>
      </w:rPr>
      <w:t>S</w:t>
    </w:r>
    <w:r w:rsidRPr="00CB0E6F">
      <w:rPr>
        <w:rFonts w:ascii="Arial Unicode MS" w:hAnsi="Arial Unicode MS" w:hint="eastAsia"/>
        <w:sz w:val="18"/>
      </w:rPr>
      <w:t xml:space="preserve">-link </w:t>
    </w:r>
    <w:r w:rsidRPr="00CB0E6F">
      <w:rPr>
        <w:rFonts w:ascii="Arial Unicode MS" w:hAnsi="Arial Unicode MS" w:hint="eastAsia"/>
        <w:sz w:val="18"/>
      </w:rPr>
      <w:t>電子六法全書</w:t>
    </w:r>
  </w:p>
  <w:p w:rsidR="00975AC0" w:rsidRDefault="00975AC0" w:rsidP="009C7DF2">
    <w:pPr>
      <w:pStyle w:val="a6"/>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781" w:rsidRDefault="00030781">
      <w:r>
        <w:separator/>
      </w:r>
    </w:p>
  </w:footnote>
  <w:footnote w:type="continuationSeparator" w:id="0">
    <w:p w:rsidR="00030781" w:rsidRDefault="000307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2689F"/>
    <w:rsid w:val="00030781"/>
    <w:rsid w:val="000364E4"/>
    <w:rsid w:val="000403FB"/>
    <w:rsid w:val="0005246F"/>
    <w:rsid w:val="000757DB"/>
    <w:rsid w:val="000A0B66"/>
    <w:rsid w:val="000A21C0"/>
    <w:rsid w:val="000A22A0"/>
    <w:rsid w:val="00105DD8"/>
    <w:rsid w:val="001856B0"/>
    <w:rsid w:val="00187906"/>
    <w:rsid w:val="001A0FD4"/>
    <w:rsid w:val="001D3916"/>
    <w:rsid w:val="001D5B6D"/>
    <w:rsid w:val="001E1466"/>
    <w:rsid w:val="001E698B"/>
    <w:rsid w:val="001F4F28"/>
    <w:rsid w:val="00205A43"/>
    <w:rsid w:val="00216232"/>
    <w:rsid w:val="00246691"/>
    <w:rsid w:val="002532A6"/>
    <w:rsid w:val="002A00C9"/>
    <w:rsid w:val="002C267A"/>
    <w:rsid w:val="002C7B09"/>
    <w:rsid w:val="002E275A"/>
    <w:rsid w:val="002F05D0"/>
    <w:rsid w:val="003305D4"/>
    <w:rsid w:val="00357771"/>
    <w:rsid w:val="00367403"/>
    <w:rsid w:val="003A098F"/>
    <w:rsid w:val="003B175B"/>
    <w:rsid w:val="00400024"/>
    <w:rsid w:val="00422423"/>
    <w:rsid w:val="004241AC"/>
    <w:rsid w:val="00425BD2"/>
    <w:rsid w:val="00434129"/>
    <w:rsid w:val="004438D6"/>
    <w:rsid w:val="004B565F"/>
    <w:rsid w:val="004F4CB2"/>
    <w:rsid w:val="00507C3E"/>
    <w:rsid w:val="00520589"/>
    <w:rsid w:val="005362B2"/>
    <w:rsid w:val="00547303"/>
    <w:rsid w:val="00564924"/>
    <w:rsid w:val="005879A1"/>
    <w:rsid w:val="00593D8B"/>
    <w:rsid w:val="00593E98"/>
    <w:rsid w:val="005E205B"/>
    <w:rsid w:val="006327FE"/>
    <w:rsid w:val="00644D23"/>
    <w:rsid w:val="00657CE6"/>
    <w:rsid w:val="00662D33"/>
    <w:rsid w:val="00671D16"/>
    <w:rsid w:val="006815F6"/>
    <w:rsid w:val="006838D8"/>
    <w:rsid w:val="006B11E3"/>
    <w:rsid w:val="006F39F6"/>
    <w:rsid w:val="006F4F17"/>
    <w:rsid w:val="00703C53"/>
    <w:rsid w:val="00710ECE"/>
    <w:rsid w:val="007659BF"/>
    <w:rsid w:val="007D0CF6"/>
    <w:rsid w:val="007D1124"/>
    <w:rsid w:val="007D1BDF"/>
    <w:rsid w:val="007F3D75"/>
    <w:rsid w:val="007F61B2"/>
    <w:rsid w:val="00806F82"/>
    <w:rsid w:val="00826B78"/>
    <w:rsid w:val="00843611"/>
    <w:rsid w:val="00843B82"/>
    <w:rsid w:val="00861746"/>
    <w:rsid w:val="0086500E"/>
    <w:rsid w:val="00894A92"/>
    <w:rsid w:val="008C23C2"/>
    <w:rsid w:val="008C2F57"/>
    <w:rsid w:val="008E4075"/>
    <w:rsid w:val="008F5B52"/>
    <w:rsid w:val="00913524"/>
    <w:rsid w:val="009437A3"/>
    <w:rsid w:val="0094452D"/>
    <w:rsid w:val="00975AC0"/>
    <w:rsid w:val="00984DE9"/>
    <w:rsid w:val="009B3480"/>
    <w:rsid w:val="009C7DF2"/>
    <w:rsid w:val="009D0211"/>
    <w:rsid w:val="009F6333"/>
    <w:rsid w:val="00A0153F"/>
    <w:rsid w:val="00A305C5"/>
    <w:rsid w:val="00A438FE"/>
    <w:rsid w:val="00A54ED0"/>
    <w:rsid w:val="00A8721A"/>
    <w:rsid w:val="00AF2C2D"/>
    <w:rsid w:val="00B26BB2"/>
    <w:rsid w:val="00B340AD"/>
    <w:rsid w:val="00B53C8C"/>
    <w:rsid w:val="00B67257"/>
    <w:rsid w:val="00B86C53"/>
    <w:rsid w:val="00C03E87"/>
    <w:rsid w:val="00C17CC6"/>
    <w:rsid w:val="00C55973"/>
    <w:rsid w:val="00C85C66"/>
    <w:rsid w:val="00CB0E6F"/>
    <w:rsid w:val="00CD0FA6"/>
    <w:rsid w:val="00CD3544"/>
    <w:rsid w:val="00CD3C3B"/>
    <w:rsid w:val="00CF444E"/>
    <w:rsid w:val="00D10FE6"/>
    <w:rsid w:val="00D46AE7"/>
    <w:rsid w:val="00D477AA"/>
    <w:rsid w:val="00D51F19"/>
    <w:rsid w:val="00D56925"/>
    <w:rsid w:val="00D70BFB"/>
    <w:rsid w:val="00D759C3"/>
    <w:rsid w:val="00D85F3C"/>
    <w:rsid w:val="00D93244"/>
    <w:rsid w:val="00DB4ABA"/>
    <w:rsid w:val="00DF4ADE"/>
    <w:rsid w:val="00E134EC"/>
    <w:rsid w:val="00E215EA"/>
    <w:rsid w:val="00E52397"/>
    <w:rsid w:val="00E67B0E"/>
    <w:rsid w:val="00E70715"/>
    <w:rsid w:val="00E730E0"/>
    <w:rsid w:val="00E95805"/>
    <w:rsid w:val="00EA5287"/>
    <w:rsid w:val="00EA7D2E"/>
    <w:rsid w:val="00EB2515"/>
    <w:rsid w:val="00EC1757"/>
    <w:rsid w:val="00EC27F7"/>
    <w:rsid w:val="00ED0BE6"/>
    <w:rsid w:val="00EE53DC"/>
    <w:rsid w:val="00F11C83"/>
    <w:rsid w:val="00F229F5"/>
    <w:rsid w:val="00F2371C"/>
    <w:rsid w:val="00F26DC0"/>
    <w:rsid w:val="00F3074E"/>
    <w:rsid w:val="00F475CC"/>
    <w:rsid w:val="00F52291"/>
    <w:rsid w:val="00F93EE5"/>
    <w:rsid w:val="00FB1918"/>
    <w:rsid w:val="00FE1B5B"/>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iPriority w:val="9"/>
    <w:unhideWhenUsed/>
    <w:qFormat/>
    <w:rsid w:val="00F93EE5"/>
    <w:pPr>
      <w:keepNext/>
      <w:adjustRightInd w:val="0"/>
      <w:snapToGrid w:val="0"/>
      <w:spacing w:before="100" w:after="100"/>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styleId="a8">
    <w:name w:val="Strong"/>
    <w:uiPriority w:val="22"/>
    <w:qFormat/>
    <w:rsid w:val="007D1124"/>
    <w:rPr>
      <w:b/>
      <w:bCs/>
    </w:rPr>
  </w:style>
  <w:style w:type="paragraph" w:styleId="a9">
    <w:name w:val="Document Map"/>
    <w:basedOn w:val="a"/>
    <w:link w:val="aa"/>
    <w:rsid w:val="00CB0E6F"/>
    <w:rPr>
      <w:rFonts w:ascii="新細明體"/>
      <w:sz w:val="18"/>
      <w:szCs w:val="18"/>
    </w:rPr>
  </w:style>
  <w:style w:type="character" w:customStyle="1" w:styleId="aa">
    <w:name w:val="文件引導模式 字元"/>
    <w:link w:val="a9"/>
    <w:rsid w:val="00CB0E6F"/>
    <w:rPr>
      <w:rFonts w:ascii="新細明體"/>
      <w:kern w:val="2"/>
      <w:sz w:val="18"/>
      <w:szCs w:val="18"/>
    </w:rPr>
  </w:style>
  <w:style w:type="character" w:customStyle="1" w:styleId="20">
    <w:name w:val="標題 2 字元"/>
    <w:link w:val="2"/>
    <w:uiPriority w:val="9"/>
    <w:rsid w:val="00F93EE5"/>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035345785">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hyperlink" Target="&#20013;&#22283;&#20844;&#27665;&#24448;&#20358;&#33274;&#28771;&#22320;&#21312;&#31649;&#29702;&#36774;&#27861;.docx" TargetMode="External"/><Relationship Id="rId3" Type="http://schemas.microsoft.com/office/2007/relationships/stylesWithEffects" Target="stylesWithEffects.xml"/><Relationship Id="rId21" Type="http://schemas.openxmlformats.org/officeDocument/2006/relationships/hyperlink" Target="mailto:anita399646@hotmail.com"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26053;&#34892;&#31038;&#26781;&#20363;.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20013;&#33775;&#20154;&#27665;&#20849;&#21644;&#22283;&#26053;&#36938;&#27861;.docx" TargetMode="External"/><Relationship Id="rId20" Type="http://schemas.openxmlformats.org/officeDocument/2006/relationships/hyperlink" Target="&#26053;&#34892;&#31038;&#26781;&#20363;.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29387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6law.idv.tw/6law/law-gb/&#22823;&#38520;&#23621;&#27665;&#36212;&#33274;&#28771;&#22320;&#21312;&#26053;&#36938;&#31649;&#29702;&#36774;&#27861;.htm" TargetMode="External"/><Relationship Id="rId23" Type="http://schemas.openxmlformats.org/officeDocument/2006/relationships/footer" Target="footer2.xml"/><Relationship Id="rId10" Type="http://schemas.openxmlformats.org/officeDocument/2006/relationships/hyperlink" Target="http://www.6law.idv.tw/update.htm" TargetMode="External"/><Relationship Id="rId19" Type="http://schemas.openxmlformats.org/officeDocument/2006/relationships/hyperlink" Target="&#20013;&#33775;&#20154;&#27665;&#20849;&#21644;&#22283;&#26053;&#36938;&#27861;.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Links>
    <vt:vector size="66" baseType="variant">
      <vt:variant>
        <vt:i4>2949124</vt:i4>
      </vt:variant>
      <vt:variant>
        <vt:i4>30</vt:i4>
      </vt:variant>
      <vt:variant>
        <vt:i4>0</vt:i4>
      </vt:variant>
      <vt:variant>
        <vt:i4>5</vt:i4>
      </vt:variant>
      <vt:variant>
        <vt:lpwstr>mailto:anita399646@hotmail.com</vt:lpwstr>
      </vt:variant>
      <vt:variant>
        <vt:lpwstr/>
      </vt:variant>
      <vt:variant>
        <vt:i4>7274612</vt:i4>
      </vt:variant>
      <vt:variant>
        <vt:i4>27</vt:i4>
      </vt:variant>
      <vt:variant>
        <vt:i4>0</vt:i4>
      </vt:variant>
      <vt:variant>
        <vt:i4>5</vt:i4>
      </vt:variant>
      <vt:variant>
        <vt:lpwstr/>
      </vt:variant>
      <vt:variant>
        <vt:lpwstr>top</vt:lpwstr>
      </vt:variant>
      <vt:variant>
        <vt:i4>-1691277550</vt:i4>
      </vt:variant>
      <vt:variant>
        <vt:i4>24</vt:i4>
      </vt:variant>
      <vt:variant>
        <vt:i4>0</vt:i4>
      </vt:variant>
      <vt:variant>
        <vt:i4>5</vt:i4>
      </vt:variant>
      <vt:variant>
        <vt:lpwstr>旅行社管理條例.doc</vt:lpwstr>
      </vt:variant>
      <vt:variant>
        <vt:lpwstr/>
      </vt:variant>
      <vt:variant>
        <vt:i4>-1691277550</vt:i4>
      </vt:variant>
      <vt:variant>
        <vt:i4>21</vt:i4>
      </vt:variant>
      <vt:variant>
        <vt:i4>0</vt:i4>
      </vt:variant>
      <vt:variant>
        <vt:i4>5</vt:i4>
      </vt:variant>
      <vt:variant>
        <vt:lpwstr>旅行社管理條例.doc</vt:lpwstr>
      </vt:variant>
      <vt:variant>
        <vt:lpwstr/>
      </vt:variant>
      <vt:variant>
        <vt:i4>1332437581</vt:i4>
      </vt:variant>
      <vt:variant>
        <vt:i4>18</vt:i4>
      </vt:variant>
      <vt:variant>
        <vt:i4>0</vt:i4>
      </vt:variant>
      <vt:variant>
        <vt:i4>5</vt:i4>
      </vt:variant>
      <vt:variant>
        <vt:lpwstr>中國公民往來臺灣地區管理辦法.doc</vt:lpwstr>
      </vt:variant>
      <vt:variant>
        <vt:lpwstr/>
      </vt:variant>
      <vt:variant>
        <vt:i4>596688252</vt:i4>
      </vt:variant>
      <vt:variant>
        <vt:i4>15</vt:i4>
      </vt:variant>
      <vt:variant>
        <vt:i4>0</vt:i4>
      </vt:variant>
      <vt:variant>
        <vt:i4>5</vt:i4>
      </vt:variant>
      <vt:variant>
        <vt:lpwstr>http://www.6law.idv.tw/6law/law-gb/大陸居民赴臺灣地區旅遊管理辦法.htm</vt:lpwstr>
      </vt:variant>
      <vt:variant>
        <vt:lpwstr/>
      </vt:variant>
      <vt:variant>
        <vt:i4>-173076527</vt:i4>
      </vt:variant>
      <vt:variant>
        <vt:i4>12</vt:i4>
      </vt:variant>
      <vt:variant>
        <vt:i4>0</vt:i4>
      </vt:variant>
      <vt:variant>
        <vt:i4>5</vt:i4>
      </vt:variant>
      <vt:variant>
        <vt:lpwstr>../S-link大陸法規索引.doc</vt:lpwstr>
      </vt:variant>
      <vt:variant>
        <vt:lpwstr>大陸居民赴臺灣地區旅遊管理辦法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大陸居民赴臺灣地區旅遊管理辦法</dc:title>
  <dc:subject/>
  <dc:creator>S-link 電子六法-黃婉玲</dc:creator>
  <cp:keywords/>
  <cp:lastModifiedBy>S-link電子六法黃婉玲</cp:lastModifiedBy>
  <cp:revision>8</cp:revision>
  <dcterms:created xsi:type="dcterms:W3CDTF">2014-11-28T01:11:00Z</dcterms:created>
  <dcterms:modified xsi:type="dcterms:W3CDTF">2017-10-10T13:25:00Z</dcterms:modified>
</cp:coreProperties>
</file>