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AB" w:rsidRDefault="00001DAB" w:rsidP="00001DAB">
      <w:pPr>
        <w:adjustRightInd w:val="0"/>
        <w:snapToGrid w:val="0"/>
        <w:ind w:rightChars="8" w:right="19"/>
        <w:jc w:val="right"/>
        <w:rPr>
          <w:rFonts w:ascii="Arial Unicode MS" w:hAnsi="Arial Unicode MS"/>
        </w:rPr>
      </w:pPr>
      <w:hyperlink r:id="rId8" w:history="1">
        <w:r w:rsidR="00606AC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001DAB" w:rsidRPr="007841B0" w:rsidRDefault="00001DAB" w:rsidP="00001DAB">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64091C">
          <w:rPr>
            <w:rStyle w:val="a3"/>
            <w:sz w:val="18"/>
            <w:szCs w:val="20"/>
          </w:rPr>
          <w:t>更新</w:t>
        </w:r>
      </w:hyperlink>
      <w:r>
        <w:rPr>
          <w:rFonts w:hint="eastAsia"/>
          <w:color w:val="7F7F7F"/>
          <w:sz w:val="18"/>
          <w:szCs w:val="20"/>
          <w:lang w:val="zh-TW"/>
        </w:rPr>
        <w:t>】</w:t>
      </w:r>
      <w:r w:rsidR="0064091C">
        <w:rPr>
          <w:rFonts w:ascii="Arial Unicode MS" w:hAnsi="Arial Unicode MS"/>
          <w:color w:val="7F7F7F"/>
          <w:sz w:val="18"/>
        </w:rPr>
        <w:t>2017/10/2</w:t>
      </w:r>
      <w:r w:rsidR="00606ACD">
        <w:rPr>
          <w:rFonts w:ascii="Arial Unicode MS" w:hAnsi="Arial Unicode MS" w:hint="eastAsia"/>
          <w:color w:val="7F7F7F"/>
          <w:sz w:val="18"/>
        </w:rPr>
        <w:t>0</w:t>
      </w:r>
      <w:r>
        <w:rPr>
          <w:rFonts w:hint="eastAsia"/>
          <w:color w:val="7F7F7F"/>
          <w:sz w:val="18"/>
          <w:szCs w:val="20"/>
          <w:lang w:val="zh-TW"/>
        </w:rPr>
        <w:t>【</w:t>
      </w:r>
      <w:hyperlink r:id="rId11" w:history="1">
        <w:r w:rsidRPr="0064091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001DAB" w:rsidRDefault="00001DAB" w:rsidP="00001DAB">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001DAB" w:rsidRDefault="00001DAB" w:rsidP="00001DAB">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最高人民法院關於中國公民申請承認外國法院離婚判決程序問題的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001DAB" w:rsidRDefault="002A00C9" w:rsidP="00806F82">
      <w:pPr>
        <w:jc w:val="both"/>
        <w:rPr>
          <w:rFonts w:ascii="Arial Unicode MS" w:hAnsi="Arial Unicode MS"/>
          <w:color w:val="666699"/>
          <w:sz w:val="20"/>
        </w:rPr>
      </w:pPr>
    </w:p>
    <w:p w:rsidR="00001DAB" w:rsidRDefault="000364E4" w:rsidP="00806F82">
      <w:pPr>
        <w:jc w:val="both"/>
        <w:rPr>
          <w:rFonts w:ascii="Calibri" w:eastAsia="標楷體" w:hAnsi="Calibri"/>
          <w:shadow/>
          <w:color w:val="000000"/>
          <w:sz w:val="26"/>
          <w:szCs w:val="26"/>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D53A6C" w:rsidRPr="00CB43C3">
        <w:rPr>
          <w:rFonts w:ascii="Calibri" w:eastAsia="標楷體" w:hAnsi="Calibri" w:hint="eastAsia"/>
          <w:shadow/>
          <w:color w:val="000000"/>
          <w:sz w:val="26"/>
          <w:szCs w:val="26"/>
        </w:rPr>
        <w:t>最高人民法院關</w:t>
      </w:r>
      <w:r w:rsidR="00C62A4A" w:rsidRPr="00CB43C3">
        <w:rPr>
          <w:rFonts w:ascii="Calibri" w:eastAsia="標楷體" w:hAnsi="Calibri" w:hint="eastAsia"/>
          <w:shadow/>
          <w:color w:val="000000"/>
          <w:sz w:val="26"/>
          <w:szCs w:val="26"/>
        </w:rPr>
        <w:t>於中國公民申請承認外國法院離婚判決程序問題的規定</w:t>
      </w:r>
    </w:p>
    <w:p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C2397E" w:rsidRPr="00C2397E">
        <w:rPr>
          <w:rFonts w:ascii="Arial Unicode MS" w:hAnsi="Arial Unicode MS" w:hint="eastAsia"/>
          <w:color w:val="000000"/>
          <w:sz w:val="20"/>
          <w:szCs w:val="18"/>
        </w:rPr>
        <w:t>最高人民法院</w:t>
      </w:r>
    </w:p>
    <w:p w:rsidR="002A00C9" w:rsidRPr="00CC7680" w:rsidRDefault="002A00C9" w:rsidP="00806F82">
      <w:pPr>
        <w:jc w:val="both"/>
        <w:rPr>
          <w:rFonts w:ascii="Arial Unicode MS" w:hAnsi="Arial Unicode MS"/>
          <w:color w:val="993300"/>
          <w:sz w:val="20"/>
          <w:szCs w:val="20"/>
        </w:rPr>
      </w:pPr>
      <w:r w:rsidRPr="00CC7680">
        <w:rPr>
          <w:rFonts w:ascii="Arial Unicode MS" w:hAnsi="Arial Unicode MS"/>
          <w:b/>
          <w:bCs/>
          <w:color w:val="993300"/>
          <w:sz w:val="20"/>
          <w:szCs w:val="20"/>
        </w:rPr>
        <w:t>【</w:t>
      </w:r>
      <w:r w:rsidR="0064091C" w:rsidRPr="002C7B09">
        <w:rPr>
          <w:rFonts w:ascii="Arial Unicode MS" w:hAnsi="Arial Unicode MS" w:hint="eastAsia"/>
          <w:b/>
          <w:bCs/>
          <w:color w:val="993300"/>
          <w:sz w:val="20"/>
        </w:rPr>
        <w:t>發</w:t>
      </w:r>
      <w:r w:rsidR="00EA7D2E" w:rsidRPr="00CC7680">
        <w:rPr>
          <w:rFonts w:ascii="Arial Unicode MS" w:hAnsi="Arial Unicode MS" w:hint="eastAsia"/>
          <w:b/>
          <w:color w:val="993300"/>
          <w:sz w:val="20"/>
          <w:szCs w:val="20"/>
        </w:rPr>
        <w:t>布</w:t>
      </w:r>
      <w:r w:rsidRPr="00CC7680">
        <w:rPr>
          <w:rFonts w:ascii="Arial Unicode MS" w:hAnsi="Arial Unicode MS" w:hint="eastAsia"/>
          <w:b/>
          <w:bCs/>
          <w:color w:val="993300"/>
          <w:sz w:val="20"/>
          <w:szCs w:val="20"/>
        </w:rPr>
        <w:t>日期</w:t>
      </w:r>
      <w:r w:rsidRPr="00CC7680">
        <w:rPr>
          <w:rFonts w:ascii="Arial Unicode MS" w:hAnsi="Arial Unicode MS"/>
          <w:b/>
          <w:bCs/>
          <w:color w:val="993300"/>
          <w:sz w:val="20"/>
          <w:szCs w:val="20"/>
        </w:rPr>
        <w:t>】</w:t>
      </w:r>
      <w:r w:rsidR="00C2397E" w:rsidRPr="00CC7680">
        <w:rPr>
          <w:rFonts w:ascii="Arial Unicode MS" w:hAnsi="Arial Unicode MS" w:hint="eastAsia"/>
          <w:color w:val="000000"/>
          <w:sz w:val="20"/>
          <w:szCs w:val="20"/>
        </w:rPr>
        <w:t>1991</w:t>
      </w:r>
      <w:r w:rsidR="00C2397E" w:rsidRPr="00CC7680">
        <w:rPr>
          <w:rFonts w:ascii="Arial Unicode MS" w:hAnsi="Arial Unicode MS" w:hint="eastAsia"/>
          <w:color w:val="000000"/>
          <w:sz w:val="20"/>
          <w:szCs w:val="20"/>
        </w:rPr>
        <w:t>年</w:t>
      </w:r>
      <w:r w:rsidR="00C2397E" w:rsidRPr="00CC7680">
        <w:rPr>
          <w:rFonts w:ascii="Arial Unicode MS" w:hAnsi="Arial Unicode MS" w:hint="eastAsia"/>
          <w:color w:val="000000"/>
          <w:sz w:val="20"/>
          <w:szCs w:val="20"/>
        </w:rPr>
        <w:t>8</w:t>
      </w:r>
      <w:r w:rsidR="00C2397E" w:rsidRPr="00CC7680">
        <w:rPr>
          <w:rFonts w:ascii="Arial Unicode MS" w:hAnsi="Arial Unicode MS" w:hint="eastAsia"/>
          <w:color w:val="000000"/>
          <w:sz w:val="20"/>
          <w:szCs w:val="20"/>
        </w:rPr>
        <w:t>月</w:t>
      </w:r>
      <w:r w:rsidR="00C2397E" w:rsidRPr="00CC7680">
        <w:rPr>
          <w:rFonts w:ascii="Arial Unicode MS" w:hAnsi="Arial Unicode MS" w:hint="eastAsia"/>
          <w:color w:val="000000"/>
          <w:sz w:val="20"/>
          <w:szCs w:val="20"/>
        </w:rPr>
        <w:t>13</w:t>
      </w:r>
      <w:r w:rsidR="00C2397E" w:rsidRPr="00CC7680">
        <w:rPr>
          <w:rFonts w:ascii="Arial Unicode MS" w:hAnsi="Arial Unicode MS" w:hint="eastAsia"/>
          <w:color w:val="000000"/>
          <w:sz w:val="20"/>
          <w:szCs w:val="20"/>
        </w:rPr>
        <w:t>日</w:t>
      </w:r>
    </w:p>
    <w:p w:rsidR="002A00C9" w:rsidRPr="00CC7680" w:rsidRDefault="002A00C9" w:rsidP="0019377F">
      <w:pPr>
        <w:jc w:val="both"/>
        <w:outlineLvl w:val="0"/>
        <w:rPr>
          <w:rFonts w:ascii="Arial Unicode MS" w:hAnsi="Arial Unicode MS"/>
          <w:color w:val="000000"/>
          <w:sz w:val="20"/>
          <w:szCs w:val="20"/>
        </w:rPr>
      </w:pPr>
      <w:r w:rsidRPr="00CC7680">
        <w:rPr>
          <w:rFonts w:ascii="Arial Unicode MS" w:hAnsi="Arial Unicode MS"/>
          <w:b/>
          <w:bCs/>
          <w:color w:val="993300"/>
          <w:sz w:val="20"/>
          <w:szCs w:val="20"/>
        </w:rPr>
        <w:t>【</w:t>
      </w:r>
      <w:r w:rsidRPr="00CC7680">
        <w:rPr>
          <w:rFonts w:ascii="Arial Unicode MS" w:hAnsi="Arial Unicode MS" w:hint="eastAsia"/>
          <w:b/>
          <w:bCs/>
          <w:color w:val="993300"/>
          <w:sz w:val="20"/>
          <w:szCs w:val="20"/>
        </w:rPr>
        <w:t>實施日期</w:t>
      </w:r>
      <w:r w:rsidRPr="00CC7680">
        <w:rPr>
          <w:rFonts w:ascii="Arial Unicode MS" w:hAnsi="Arial Unicode MS"/>
          <w:b/>
          <w:bCs/>
          <w:color w:val="993300"/>
          <w:sz w:val="20"/>
          <w:szCs w:val="20"/>
        </w:rPr>
        <w:t>】</w:t>
      </w:r>
      <w:r w:rsidR="00C2397E" w:rsidRPr="00CC7680">
        <w:rPr>
          <w:rFonts w:ascii="Arial Unicode MS" w:hAnsi="Arial Unicode MS" w:hint="eastAsia"/>
          <w:color w:val="000000"/>
          <w:sz w:val="20"/>
          <w:szCs w:val="20"/>
        </w:rPr>
        <w:t>1991</w:t>
      </w:r>
      <w:r w:rsidR="00C2397E" w:rsidRPr="00CC7680">
        <w:rPr>
          <w:rFonts w:ascii="Arial Unicode MS" w:hAnsi="Arial Unicode MS" w:hint="eastAsia"/>
          <w:color w:val="000000"/>
          <w:sz w:val="20"/>
          <w:szCs w:val="20"/>
        </w:rPr>
        <w:t>年</w:t>
      </w:r>
      <w:r w:rsidR="00C2397E" w:rsidRPr="00CC7680">
        <w:rPr>
          <w:rFonts w:ascii="Arial Unicode MS" w:hAnsi="Arial Unicode MS" w:hint="eastAsia"/>
          <w:color w:val="000000"/>
          <w:sz w:val="20"/>
          <w:szCs w:val="20"/>
        </w:rPr>
        <w:t>8</w:t>
      </w:r>
      <w:r w:rsidR="00C2397E" w:rsidRPr="00CC7680">
        <w:rPr>
          <w:rFonts w:ascii="Arial Unicode MS" w:hAnsi="Arial Unicode MS" w:hint="eastAsia"/>
          <w:color w:val="000000"/>
          <w:sz w:val="20"/>
          <w:szCs w:val="20"/>
        </w:rPr>
        <w:t>月</w:t>
      </w:r>
      <w:r w:rsidR="00C2397E" w:rsidRPr="00CC7680">
        <w:rPr>
          <w:rFonts w:ascii="Arial Unicode MS" w:hAnsi="Arial Unicode MS" w:hint="eastAsia"/>
          <w:color w:val="000000"/>
          <w:sz w:val="20"/>
          <w:szCs w:val="20"/>
        </w:rPr>
        <w:t>13</w:t>
      </w:r>
      <w:r w:rsidR="00C2397E" w:rsidRPr="00CC7680">
        <w:rPr>
          <w:rFonts w:ascii="Arial Unicode MS" w:hAnsi="Arial Unicode MS" w:hint="eastAsia"/>
          <w:color w:val="000000"/>
          <w:sz w:val="20"/>
          <w:szCs w:val="20"/>
        </w:rPr>
        <w:t>日</w:t>
      </w:r>
      <w:bookmarkStart w:id="1" w:name="_GoBack"/>
      <w:bookmarkEnd w:id="1"/>
    </w:p>
    <w:p w:rsidR="00CC7680" w:rsidRPr="002C7B09" w:rsidRDefault="00CC7680" w:rsidP="0019377F">
      <w:pPr>
        <w:jc w:val="both"/>
        <w:outlineLvl w:val="0"/>
        <w:rPr>
          <w:rFonts w:ascii="Arial Unicode MS" w:hAnsi="Arial Unicode MS"/>
          <w:b/>
          <w:bCs/>
          <w:color w:val="993300"/>
          <w:sz w:val="20"/>
          <w:szCs w:val="27"/>
          <w:lang w:val="zh-TW"/>
        </w:rPr>
      </w:pPr>
    </w:p>
    <w:p w:rsidR="00C2397E" w:rsidRPr="00CC7680" w:rsidRDefault="001F4F28" w:rsidP="00CC7680">
      <w:pPr>
        <w:pStyle w:val="1"/>
        <w:snapToGrid w:val="0"/>
        <w:spacing w:before="100" w:beforeAutospacing="1" w:after="100" w:afterAutospacing="1"/>
        <w:textAlignment w:val="auto"/>
        <w:rPr>
          <w:rFonts w:ascii="Arial Unicode MS" w:hAnsi="Arial Unicode MS" w:cs="Arial Unicode MS"/>
          <w:color w:val="990000"/>
          <w:kern w:val="2"/>
        </w:rPr>
      </w:pPr>
      <w:r w:rsidRPr="00CC7680">
        <w:rPr>
          <w:rFonts w:ascii="Arial Unicode MS" w:hAnsi="Arial Unicode MS" w:cs="Arial Unicode MS"/>
          <w:color w:val="990000"/>
          <w:kern w:val="2"/>
        </w:rPr>
        <w:t>【</w:t>
      </w:r>
      <w:r w:rsidR="002A00C9" w:rsidRPr="00CC7680">
        <w:rPr>
          <w:rFonts w:ascii="Arial Unicode MS" w:hAnsi="Arial Unicode MS" w:cs="Arial Unicode MS" w:hint="eastAsia"/>
          <w:color w:val="990000"/>
          <w:kern w:val="2"/>
        </w:rPr>
        <w:t>法規沿革</w:t>
      </w:r>
      <w:r w:rsidR="002A00C9" w:rsidRPr="00CC7680">
        <w:rPr>
          <w:rFonts w:ascii="Arial Unicode MS" w:hAnsi="Arial Unicode MS" w:cs="Arial Unicode MS"/>
          <w:color w:val="990000"/>
          <w:kern w:val="2"/>
        </w:rPr>
        <w:t>】</w:t>
      </w:r>
    </w:p>
    <w:p w:rsidR="00C2397E" w:rsidRPr="00C2397E" w:rsidRDefault="00CC7680" w:rsidP="00C2397E">
      <w:pPr>
        <w:jc w:val="both"/>
        <w:rPr>
          <w:rFonts w:ascii="Arial Unicode MS" w:hAnsi="Arial Unicode MS"/>
          <w:color w:val="000000"/>
          <w:sz w:val="18"/>
          <w:szCs w:val="18"/>
        </w:rPr>
      </w:pPr>
      <w:r w:rsidRPr="00CC7680">
        <w:rPr>
          <w:rFonts w:ascii="Arial Unicode MS" w:hAnsi="Arial Unicode MS" w:hint="eastAsia"/>
          <w:b/>
          <w:bCs/>
          <w:sz w:val="20"/>
        </w:rPr>
        <w:t>‧</w:t>
      </w:r>
      <w:r w:rsidR="00C2397E" w:rsidRPr="00C2397E">
        <w:rPr>
          <w:rFonts w:ascii="Arial Unicode MS" w:hAnsi="Arial Unicode MS" w:hint="eastAsia"/>
          <w:color w:val="000000"/>
          <w:sz w:val="18"/>
          <w:szCs w:val="18"/>
        </w:rPr>
        <w:t>法民發</w:t>
      </w:r>
      <w:r w:rsidR="00C2397E" w:rsidRPr="00C2397E">
        <w:rPr>
          <w:rFonts w:ascii="Arial Unicode MS" w:hAnsi="Arial Unicode MS" w:hint="eastAsia"/>
          <w:color w:val="000000"/>
          <w:sz w:val="18"/>
          <w:szCs w:val="18"/>
        </w:rPr>
        <w:t>[1991]21</w:t>
      </w:r>
      <w:r w:rsidR="00C2397E" w:rsidRPr="00C2397E">
        <w:rPr>
          <w:rFonts w:ascii="Arial Unicode MS" w:hAnsi="Arial Unicode MS" w:hint="eastAsia"/>
          <w:color w:val="000000"/>
          <w:sz w:val="18"/>
          <w:szCs w:val="18"/>
        </w:rPr>
        <w:t>號</w:t>
      </w:r>
      <w:r w:rsidR="00C2397E" w:rsidRPr="00C2397E">
        <w:rPr>
          <w:rFonts w:ascii="新細明體" w:cs="新細明體" w:hint="eastAsia"/>
          <w:color w:val="000000"/>
          <w:kern w:val="0"/>
          <w:sz w:val="18"/>
          <w:szCs w:val="18"/>
          <w:lang w:val="zh-TW"/>
        </w:rPr>
        <w:t>；</w:t>
      </w:r>
      <w:r w:rsidR="00C2397E" w:rsidRPr="00C2397E">
        <w:rPr>
          <w:rFonts w:ascii="Arial Unicode MS" w:hAnsi="Arial Unicode MS" w:hint="eastAsia"/>
          <w:color w:val="000000"/>
          <w:sz w:val="18"/>
          <w:szCs w:val="18"/>
        </w:rPr>
        <w:t>1991</w:t>
      </w:r>
      <w:r w:rsidR="00C2397E" w:rsidRPr="00C2397E">
        <w:rPr>
          <w:rFonts w:ascii="Arial Unicode MS" w:hAnsi="Arial Unicode MS" w:hint="eastAsia"/>
          <w:color w:val="000000"/>
          <w:sz w:val="18"/>
          <w:szCs w:val="18"/>
        </w:rPr>
        <w:t>年</w:t>
      </w:r>
      <w:r w:rsidR="00C2397E" w:rsidRPr="00C2397E">
        <w:rPr>
          <w:rFonts w:ascii="Arial Unicode MS" w:hAnsi="Arial Unicode MS" w:hint="eastAsia"/>
          <w:color w:val="000000"/>
          <w:sz w:val="18"/>
          <w:szCs w:val="18"/>
        </w:rPr>
        <w:t>7</w:t>
      </w:r>
      <w:r w:rsidR="00C2397E" w:rsidRPr="00C2397E">
        <w:rPr>
          <w:rFonts w:ascii="Arial Unicode MS" w:hAnsi="Arial Unicode MS" w:hint="eastAsia"/>
          <w:color w:val="000000"/>
          <w:sz w:val="18"/>
          <w:szCs w:val="18"/>
        </w:rPr>
        <w:t>月</w:t>
      </w:r>
      <w:r w:rsidR="00C2397E" w:rsidRPr="00C2397E">
        <w:rPr>
          <w:rFonts w:ascii="Arial Unicode MS" w:hAnsi="Arial Unicode MS" w:hint="eastAsia"/>
          <w:color w:val="000000"/>
          <w:sz w:val="18"/>
          <w:szCs w:val="18"/>
        </w:rPr>
        <w:t>5</w:t>
      </w:r>
      <w:r w:rsidR="00C2397E" w:rsidRPr="00C2397E">
        <w:rPr>
          <w:rFonts w:ascii="Arial Unicode MS" w:hAnsi="Arial Unicode MS" w:hint="eastAsia"/>
          <w:color w:val="000000"/>
          <w:sz w:val="18"/>
          <w:szCs w:val="18"/>
        </w:rPr>
        <w:t>日最高人民法院審判委員會第</w:t>
      </w:r>
      <w:r w:rsidR="00C2397E" w:rsidRPr="00C2397E">
        <w:rPr>
          <w:rFonts w:ascii="Arial Unicode MS" w:hAnsi="Arial Unicode MS" w:hint="eastAsia"/>
          <w:color w:val="000000"/>
          <w:sz w:val="18"/>
          <w:szCs w:val="18"/>
        </w:rPr>
        <w:t>503</w:t>
      </w:r>
      <w:r w:rsidR="00C2397E" w:rsidRPr="00C2397E">
        <w:rPr>
          <w:rFonts w:ascii="Arial Unicode MS" w:hAnsi="Arial Unicode MS" w:hint="eastAsia"/>
          <w:color w:val="000000"/>
          <w:sz w:val="18"/>
          <w:szCs w:val="18"/>
        </w:rPr>
        <w:t>次會議討論通過，最高人民法院以法（民）發</w:t>
      </w:r>
      <w:r w:rsidR="00C2397E" w:rsidRPr="00C2397E">
        <w:rPr>
          <w:rFonts w:ascii="Arial Unicode MS" w:hAnsi="Arial Unicode MS" w:hint="eastAsia"/>
          <w:color w:val="000000"/>
          <w:sz w:val="18"/>
          <w:szCs w:val="18"/>
        </w:rPr>
        <w:t>[1991]21</w:t>
      </w:r>
      <w:r w:rsidR="00C2397E" w:rsidRPr="00C2397E">
        <w:rPr>
          <w:rFonts w:ascii="Arial Unicode MS" w:hAnsi="Arial Unicode MS" w:hint="eastAsia"/>
          <w:color w:val="000000"/>
          <w:sz w:val="18"/>
          <w:szCs w:val="18"/>
        </w:rPr>
        <w:t>號通知於</w:t>
      </w:r>
      <w:r w:rsidR="00C2397E" w:rsidRPr="00C2397E">
        <w:rPr>
          <w:rFonts w:ascii="Arial Unicode MS" w:hAnsi="Arial Unicode MS" w:hint="eastAsia"/>
          <w:color w:val="000000"/>
          <w:sz w:val="18"/>
          <w:szCs w:val="18"/>
        </w:rPr>
        <w:t>1991</w:t>
      </w:r>
      <w:r w:rsidR="00C2397E" w:rsidRPr="00C2397E">
        <w:rPr>
          <w:rFonts w:ascii="Arial Unicode MS" w:hAnsi="Arial Unicode MS" w:hint="eastAsia"/>
          <w:color w:val="000000"/>
          <w:sz w:val="18"/>
          <w:szCs w:val="18"/>
        </w:rPr>
        <w:t>年</w:t>
      </w:r>
      <w:r w:rsidR="00C2397E" w:rsidRPr="00C2397E">
        <w:rPr>
          <w:rFonts w:ascii="Arial Unicode MS" w:hAnsi="Arial Unicode MS" w:hint="eastAsia"/>
          <w:color w:val="000000"/>
          <w:sz w:val="18"/>
          <w:szCs w:val="18"/>
        </w:rPr>
        <w:t>8</w:t>
      </w:r>
      <w:r w:rsidR="00C2397E" w:rsidRPr="00C2397E">
        <w:rPr>
          <w:rFonts w:ascii="Arial Unicode MS" w:hAnsi="Arial Unicode MS" w:hint="eastAsia"/>
          <w:color w:val="000000"/>
          <w:sz w:val="18"/>
          <w:szCs w:val="18"/>
        </w:rPr>
        <w:t>月</w:t>
      </w:r>
      <w:r w:rsidR="00C2397E" w:rsidRPr="00C2397E">
        <w:rPr>
          <w:rFonts w:ascii="Arial Unicode MS" w:hAnsi="Arial Unicode MS" w:hint="eastAsia"/>
          <w:color w:val="000000"/>
          <w:sz w:val="18"/>
          <w:szCs w:val="18"/>
        </w:rPr>
        <w:t>13</w:t>
      </w:r>
      <w:r w:rsidR="00C2397E" w:rsidRPr="00C2397E">
        <w:rPr>
          <w:rFonts w:ascii="Arial Unicode MS" w:hAnsi="Arial Unicode MS" w:hint="eastAsia"/>
          <w:color w:val="000000"/>
          <w:sz w:val="18"/>
          <w:szCs w:val="18"/>
        </w:rPr>
        <w:t>日下發</w:t>
      </w:r>
    </w:p>
    <w:p w:rsidR="00593D8B" w:rsidRPr="002C7B09" w:rsidRDefault="00593D8B" w:rsidP="00C2397E">
      <w:pPr>
        <w:jc w:val="both"/>
        <w:rPr>
          <w:rFonts w:ascii="Arial Unicode MS" w:hAnsi="Arial Unicode MS"/>
          <w:color w:val="666699"/>
          <w:sz w:val="20"/>
          <w:szCs w:val="18"/>
        </w:rPr>
      </w:pPr>
    </w:p>
    <w:p w:rsidR="00E52397" w:rsidRPr="00CC7680" w:rsidRDefault="00E52397" w:rsidP="00CC7680">
      <w:pPr>
        <w:pStyle w:val="1"/>
        <w:snapToGrid w:val="0"/>
        <w:spacing w:before="100" w:beforeAutospacing="1" w:after="100" w:afterAutospacing="1"/>
        <w:textAlignment w:val="auto"/>
        <w:rPr>
          <w:rFonts w:ascii="Arial Unicode MS" w:hAnsi="Arial Unicode MS" w:cs="Arial Unicode MS"/>
          <w:color w:val="990000"/>
          <w:kern w:val="2"/>
        </w:rPr>
      </w:pPr>
      <w:bookmarkStart w:id="2" w:name="_第一章__總_則"/>
      <w:bookmarkEnd w:id="2"/>
      <w:r w:rsidRPr="00CC7680">
        <w:rPr>
          <w:rFonts w:ascii="Arial Unicode MS" w:hAnsi="Arial Unicode MS" w:cs="Arial Unicode MS"/>
          <w:color w:val="990000"/>
          <w:kern w:val="2"/>
        </w:rPr>
        <w:t>【</w:t>
      </w:r>
      <w:r w:rsidRPr="00CC7680">
        <w:rPr>
          <w:rFonts w:ascii="Arial Unicode MS" w:hAnsi="Arial Unicode MS" w:cs="Arial Unicode MS" w:hint="eastAsia"/>
          <w:color w:val="990000"/>
          <w:kern w:val="2"/>
        </w:rPr>
        <w:t>法規內容</w:t>
      </w:r>
      <w:r w:rsidRPr="00CC7680">
        <w:rPr>
          <w:rFonts w:ascii="Arial Unicode MS" w:hAnsi="Arial Unicode MS" w:cs="Arial Unicode MS"/>
          <w:color w:val="990000"/>
          <w:kern w:val="2"/>
        </w:rPr>
        <w:t>】</w:t>
      </w:r>
    </w:p>
    <w:p w:rsidR="00F167A3" w:rsidRPr="00CC7680" w:rsidRDefault="00C62A4A" w:rsidP="00CC7680">
      <w:pPr>
        <w:pStyle w:val="2"/>
      </w:pPr>
      <w:r w:rsidRPr="00CC7680">
        <w:rPr>
          <w:rFonts w:hint="eastAsia"/>
        </w:rPr>
        <w:t>第</w:t>
      </w:r>
      <w:r w:rsidR="005C2E5C">
        <w:rPr>
          <w:rFonts w:hint="eastAsia"/>
        </w:rPr>
        <w:t>1</w:t>
      </w:r>
      <w:r w:rsidRPr="00CC7680">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對與我國沒有訂立司法協助協議的外國法院作出的離婚判決，中國籍當事人可以根據本規定向人民法院申請承認該外國法院的離婚判決。</w:t>
      </w:r>
    </w:p>
    <w:p w:rsidR="00C62A4A" w:rsidRPr="000C03AC" w:rsidRDefault="00E31AC9" w:rsidP="00C62A4A">
      <w:pPr>
        <w:ind w:left="142"/>
        <w:jc w:val="both"/>
        <w:rPr>
          <w:rFonts w:ascii="Arial Unicode MS" w:hAnsi="Arial Unicode MS"/>
          <w:color w:val="17365D"/>
          <w:sz w:val="20"/>
        </w:rPr>
      </w:pPr>
      <w:r w:rsidRPr="000C03AC">
        <w:rPr>
          <w:rFonts w:ascii="Arial Unicode MS" w:hAnsi="Arial Unicode MS" w:hint="eastAsia"/>
          <w:color w:val="17365D"/>
          <w:sz w:val="20"/>
        </w:rPr>
        <w:t xml:space="preserve">　　</w:t>
      </w:r>
      <w:r w:rsidR="00C62A4A" w:rsidRPr="000C03AC">
        <w:rPr>
          <w:rFonts w:ascii="Arial Unicode MS" w:hAnsi="Arial Unicode MS" w:hint="eastAsia"/>
          <w:color w:val="17365D"/>
          <w:sz w:val="20"/>
        </w:rPr>
        <w:t>對與我國有司法協助協議的外國法院作出的離婚判決，按照協議的規定申請承認。</w:t>
      </w:r>
    </w:p>
    <w:p w:rsidR="00F167A3" w:rsidRPr="00E31AC9" w:rsidRDefault="00C62A4A" w:rsidP="00CC7680">
      <w:pPr>
        <w:pStyle w:val="2"/>
      </w:pPr>
      <w:r w:rsidRPr="00E31AC9">
        <w:rPr>
          <w:rFonts w:hint="eastAsia"/>
        </w:rPr>
        <w:t>第</w:t>
      </w:r>
      <w:r w:rsidR="005C2E5C">
        <w:rPr>
          <w:rFonts w:hint="eastAsia"/>
        </w:rPr>
        <w:t>2</w:t>
      </w:r>
      <w:r w:rsidRPr="00E31AC9">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外國法院離婚判決中的夫妻財產分割、生活費負擔、子女撫養方面判決的承認執行，不適用本規定。</w:t>
      </w:r>
    </w:p>
    <w:p w:rsidR="00F167A3" w:rsidRPr="00E31AC9" w:rsidRDefault="00C62A4A" w:rsidP="00CC7680">
      <w:pPr>
        <w:pStyle w:val="2"/>
      </w:pPr>
      <w:r w:rsidRPr="00E31AC9">
        <w:rPr>
          <w:rFonts w:hint="eastAsia"/>
        </w:rPr>
        <w:t>第</w:t>
      </w:r>
      <w:r w:rsidR="005C2E5C">
        <w:rPr>
          <w:rFonts w:hint="eastAsia"/>
        </w:rPr>
        <w:t>3</w:t>
      </w:r>
      <w:r w:rsidRPr="00E31AC9">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向人民法院申請承認外國法院的離婚判決，申請人應提出書面申請書，並須附有外國法院離婚判決書正本及經證明無誤的中文譯本。否則，不予受理。</w:t>
      </w:r>
    </w:p>
    <w:p w:rsidR="00F167A3" w:rsidRPr="00E31AC9" w:rsidRDefault="00C62A4A" w:rsidP="00CC7680">
      <w:pPr>
        <w:pStyle w:val="2"/>
      </w:pPr>
      <w:r w:rsidRPr="00E31AC9">
        <w:rPr>
          <w:rFonts w:hint="eastAsia"/>
        </w:rPr>
        <w:t>第</w:t>
      </w:r>
      <w:r w:rsidR="005C2E5C">
        <w:rPr>
          <w:rFonts w:hint="eastAsia"/>
        </w:rPr>
        <w:t>4</w:t>
      </w:r>
      <w:r w:rsidRPr="00E31AC9">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申請書應記明以下事項：</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（一）申請人姓名、性別、年齡、工作單位和住址；</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（二）判決由何國法院作出，判決結果、時間；</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（三）受傳喚及應訴的情況；</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（四）申請理由及請求；</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（五）其他需要說明的情況。</w:t>
      </w:r>
    </w:p>
    <w:p w:rsidR="00F167A3" w:rsidRPr="00E31AC9" w:rsidRDefault="00C62A4A" w:rsidP="00CC7680">
      <w:pPr>
        <w:pStyle w:val="2"/>
      </w:pPr>
      <w:r w:rsidRPr="00E31AC9">
        <w:rPr>
          <w:rFonts w:hint="eastAsia"/>
        </w:rPr>
        <w:t>第</w:t>
      </w:r>
      <w:r w:rsidR="005C2E5C">
        <w:rPr>
          <w:rFonts w:hint="eastAsia"/>
        </w:rPr>
        <w:t>5</w:t>
      </w:r>
      <w:r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申請由申請人住所地中級人民法院受理。申請人住所地與經常居住地不一致的，由經常居住地中級人民法院受理。</w:t>
      </w:r>
    </w:p>
    <w:p w:rsidR="00C62A4A" w:rsidRPr="000C03AC" w:rsidRDefault="00604185" w:rsidP="00C62A4A">
      <w:pPr>
        <w:ind w:left="142"/>
        <w:jc w:val="both"/>
        <w:rPr>
          <w:rFonts w:ascii="Arial Unicode MS" w:hAnsi="Arial Unicode MS"/>
          <w:color w:val="17365D"/>
          <w:sz w:val="20"/>
        </w:rPr>
      </w:pPr>
      <w:r w:rsidRPr="000C03AC">
        <w:rPr>
          <w:rFonts w:ascii="Arial Unicode MS" w:hAnsi="Arial Unicode MS" w:hint="eastAsia"/>
          <w:color w:val="17365D"/>
          <w:sz w:val="20"/>
        </w:rPr>
        <w:t xml:space="preserve">　　</w:t>
      </w:r>
      <w:r w:rsidR="00C62A4A" w:rsidRPr="000C03AC">
        <w:rPr>
          <w:rFonts w:ascii="Arial Unicode MS" w:hAnsi="Arial Unicode MS" w:hint="eastAsia"/>
          <w:color w:val="17365D"/>
          <w:sz w:val="20"/>
        </w:rPr>
        <w:t>申請人不在國內的，由申請人原國內住所地中級人民法院受理。</w:t>
      </w:r>
    </w:p>
    <w:p w:rsidR="00F167A3" w:rsidRPr="00E31AC9" w:rsidRDefault="00C62A4A" w:rsidP="00CC7680">
      <w:pPr>
        <w:pStyle w:val="2"/>
      </w:pPr>
      <w:r w:rsidRPr="00E31AC9">
        <w:rPr>
          <w:rFonts w:hint="eastAsia"/>
        </w:rPr>
        <w:lastRenderedPageBreak/>
        <w:t>第</w:t>
      </w:r>
      <w:r w:rsidR="005C2E5C">
        <w:rPr>
          <w:rFonts w:hint="eastAsia"/>
        </w:rPr>
        <w:t>6</w:t>
      </w:r>
      <w:r w:rsidRPr="00E31AC9">
        <w:rPr>
          <w:rFonts w:hint="eastAsia"/>
        </w:rPr>
        <w:t>條</w:t>
      </w:r>
    </w:p>
    <w:p w:rsidR="00C62A4A" w:rsidRPr="00001DAB" w:rsidRDefault="00604185" w:rsidP="00001DAB">
      <w:pPr>
        <w:ind w:leftChars="59" w:left="142"/>
        <w:rPr>
          <w:sz w:val="20"/>
          <w:szCs w:val="20"/>
        </w:rPr>
      </w:pPr>
      <w:r w:rsidRPr="00001DAB">
        <w:rPr>
          <w:rFonts w:hint="eastAsia"/>
          <w:sz w:val="20"/>
          <w:szCs w:val="20"/>
        </w:rPr>
        <w:t xml:space="preserve">　　</w:t>
      </w:r>
      <w:r w:rsidR="00C62A4A" w:rsidRPr="00001DAB">
        <w:rPr>
          <w:rFonts w:hint="eastAsia"/>
          <w:sz w:val="20"/>
          <w:szCs w:val="20"/>
        </w:rPr>
        <w:t>人民法院接到申請書，經審查，符合本規定的受理條件的，應當在</w:t>
      </w:r>
      <w:r w:rsidR="005C2E5C" w:rsidRPr="00001DAB">
        <w:rPr>
          <w:rFonts w:hint="eastAsia"/>
          <w:sz w:val="20"/>
          <w:szCs w:val="20"/>
        </w:rPr>
        <w:t>7</w:t>
      </w:r>
      <w:r w:rsidR="00C62A4A" w:rsidRPr="00001DAB">
        <w:rPr>
          <w:rFonts w:hint="eastAsia"/>
          <w:sz w:val="20"/>
          <w:szCs w:val="20"/>
        </w:rPr>
        <w:t>日內立案；不符合的，應當在</w:t>
      </w:r>
      <w:r w:rsidR="005C2E5C" w:rsidRPr="00001DAB">
        <w:rPr>
          <w:rFonts w:hint="eastAsia"/>
          <w:sz w:val="20"/>
          <w:szCs w:val="20"/>
        </w:rPr>
        <w:t>7</w:t>
      </w:r>
      <w:r w:rsidR="00C62A4A" w:rsidRPr="00001DAB">
        <w:rPr>
          <w:rFonts w:hint="eastAsia"/>
          <w:sz w:val="20"/>
          <w:szCs w:val="20"/>
        </w:rPr>
        <w:t>日內通知申請人不予受理，並說明理由。</w:t>
      </w:r>
    </w:p>
    <w:p w:rsidR="00F167A3" w:rsidRPr="00E31AC9" w:rsidRDefault="00C62A4A" w:rsidP="00001DAB">
      <w:pPr>
        <w:pStyle w:val="2"/>
      </w:pPr>
      <w:r w:rsidRPr="00E31AC9">
        <w:rPr>
          <w:rFonts w:hint="eastAsia"/>
        </w:rPr>
        <w:t>第</w:t>
      </w:r>
      <w:r w:rsidR="00001DAB">
        <w:rPr>
          <w:rFonts w:hint="eastAsia"/>
        </w:rPr>
        <w:t>7</w:t>
      </w:r>
      <w:r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人民法院審查承認外國法院離婚判決的申請，由三名審判員組成合議庭進行，作出的裁定不得上訴。</w:t>
      </w:r>
    </w:p>
    <w:p w:rsidR="00F167A3" w:rsidRPr="00E31AC9" w:rsidRDefault="00C62A4A" w:rsidP="00CC7680">
      <w:pPr>
        <w:pStyle w:val="2"/>
      </w:pPr>
      <w:bookmarkStart w:id="3" w:name="a8"/>
      <w:bookmarkEnd w:id="3"/>
      <w:r w:rsidRPr="00E31AC9">
        <w:rPr>
          <w:rFonts w:hint="eastAsia"/>
        </w:rPr>
        <w:t>第</w:t>
      </w:r>
      <w:r w:rsidR="005C2E5C">
        <w:rPr>
          <w:rFonts w:hint="eastAsia"/>
        </w:rPr>
        <w:t>8</w:t>
      </w:r>
      <w:r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人民法院受理申請後，對於外國法院離婚判決書沒有指明已生效或生效時間的，應責令申請人提交作出判決的法院出具的判決已生效的證明文件。</w:t>
      </w:r>
    </w:p>
    <w:p w:rsidR="00F167A3" w:rsidRPr="00E31AC9" w:rsidRDefault="00C62A4A" w:rsidP="00CC7680">
      <w:pPr>
        <w:pStyle w:val="2"/>
      </w:pPr>
      <w:bookmarkStart w:id="4" w:name="a9"/>
      <w:bookmarkEnd w:id="4"/>
      <w:r w:rsidRPr="00E31AC9">
        <w:rPr>
          <w:rFonts w:hint="eastAsia"/>
        </w:rPr>
        <w:t>第</w:t>
      </w:r>
      <w:r w:rsidR="005C2E5C">
        <w:rPr>
          <w:rFonts w:hint="eastAsia"/>
        </w:rPr>
        <w:t>9</w:t>
      </w:r>
      <w:r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外國法院作出離婚判決的原告為申請人的，人民法院應責令其提交作出判決的外國法院已合法傳喚被告出庭的有關證明文件。</w:t>
      </w:r>
    </w:p>
    <w:p w:rsidR="00F167A3" w:rsidRPr="00E31AC9" w:rsidRDefault="005C2E5C" w:rsidP="00CC7680">
      <w:pPr>
        <w:pStyle w:val="2"/>
      </w:pPr>
      <w:bookmarkStart w:id="5" w:name="a10"/>
      <w:bookmarkEnd w:id="5"/>
      <w:r>
        <w:rPr>
          <w:rFonts w:hint="eastAsia"/>
        </w:rPr>
        <w:t>第</w:t>
      </w:r>
      <w:r>
        <w:rPr>
          <w:rFonts w:hint="eastAsia"/>
        </w:rPr>
        <w:t>1</w:t>
      </w:r>
      <w:r w:rsidR="00001DAB">
        <w:rPr>
          <w:rFonts w:hint="eastAsia"/>
        </w:rPr>
        <w:t>0</w:t>
      </w:r>
      <w:r w:rsidR="00C62A4A"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按照</w:t>
      </w:r>
      <w:hyperlink w:anchor="a8" w:history="1">
        <w:r w:rsidR="00C62A4A" w:rsidRPr="000C03AC">
          <w:rPr>
            <w:rStyle w:val="a3"/>
            <w:rFonts w:ascii="Arial Unicode MS" w:hAnsi="Arial Unicode MS" w:hint="eastAsia"/>
          </w:rPr>
          <w:t>第八條</w:t>
        </w:r>
      </w:hyperlink>
      <w:r w:rsidR="00C62A4A" w:rsidRPr="00C62A4A">
        <w:rPr>
          <w:rFonts w:ascii="Arial Unicode MS" w:hAnsi="Arial Unicode MS" w:hint="eastAsia"/>
          <w:sz w:val="20"/>
        </w:rPr>
        <w:t>、</w:t>
      </w:r>
      <w:hyperlink w:anchor="a9" w:history="1">
        <w:r w:rsidR="00C62A4A" w:rsidRPr="000C03AC">
          <w:rPr>
            <w:rStyle w:val="a3"/>
            <w:rFonts w:ascii="Arial Unicode MS" w:hAnsi="Arial Unicode MS" w:hint="eastAsia"/>
          </w:rPr>
          <w:t>第九條</w:t>
        </w:r>
      </w:hyperlink>
      <w:r w:rsidR="00C62A4A" w:rsidRPr="00C62A4A">
        <w:rPr>
          <w:rFonts w:ascii="Arial Unicode MS" w:hAnsi="Arial Unicode MS" w:hint="eastAsia"/>
          <w:sz w:val="20"/>
        </w:rPr>
        <w:t>要求提供的證明文件，應經該外國公證部門公證和我國駐該國使、領館認證。同時應由申請人提供經證明無誤的中文譯本。</w:t>
      </w:r>
    </w:p>
    <w:p w:rsidR="00F167A3" w:rsidRPr="00E31AC9" w:rsidRDefault="005C2E5C" w:rsidP="00CC7680">
      <w:pPr>
        <w:pStyle w:val="2"/>
      </w:pPr>
      <w:r>
        <w:rPr>
          <w:rFonts w:hint="eastAsia"/>
        </w:rPr>
        <w:t>第</w:t>
      </w:r>
      <w:r>
        <w:rPr>
          <w:rFonts w:hint="eastAsia"/>
        </w:rPr>
        <w:t>11</w:t>
      </w:r>
      <w:r w:rsidR="00C62A4A" w:rsidRPr="00E31AC9">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居住在我國境內的外國法院離婚判決的被告為申請人，提交</w:t>
      </w:r>
      <w:hyperlink w:anchor="a8" w:history="1">
        <w:r w:rsidR="00C62A4A" w:rsidRPr="0019377F">
          <w:rPr>
            <w:rStyle w:val="a3"/>
            <w:rFonts w:ascii="Arial Unicode MS" w:hAnsi="Arial Unicode MS" w:hint="eastAsia"/>
          </w:rPr>
          <w:t>第八條</w:t>
        </w:r>
      </w:hyperlink>
      <w:r w:rsidR="00C62A4A" w:rsidRPr="00C62A4A">
        <w:rPr>
          <w:rFonts w:ascii="Arial Unicode MS" w:hAnsi="Arial Unicode MS" w:hint="eastAsia"/>
          <w:sz w:val="20"/>
        </w:rPr>
        <w:t>、</w:t>
      </w:r>
      <w:hyperlink w:anchor="a10" w:history="1">
        <w:r w:rsidR="00C62A4A" w:rsidRPr="0019377F">
          <w:rPr>
            <w:rStyle w:val="a3"/>
            <w:rFonts w:ascii="Arial Unicode MS" w:hAnsi="Arial Unicode MS" w:hint="eastAsia"/>
          </w:rPr>
          <w:t>第十條</w:t>
        </w:r>
      </w:hyperlink>
      <w:r w:rsidR="00C62A4A" w:rsidRPr="00C62A4A">
        <w:rPr>
          <w:rFonts w:ascii="Arial Unicode MS" w:hAnsi="Arial Unicode MS" w:hint="eastAsia"/>
          <w:sz w:val="20"/>
        </w:rPr>
        <w:t>所要求的證明文件和公證、認證有困難的，如能提交外國法院的應訴通知或出庭傳票的，可推定外國法院離婚判決書為真實和已經生效。</w:t>
      </w:r>
    </w:p>
    <w:p w:rsidR="00F167A3" w:rsidRPr="009C3042" w:rsidRDefault="005C2E5C" w:rsidP="00CC7680">
      <w:pPr>
        <w:pStyle w:val="2"/>
      </w:pPr>
      <w:bookmarkStart w:id="6" w:name="a12"/>
      <w:bookmarkEnd w:id="6"/>
      <w:r>
        <w:rPr>
          <w:rFonts w:hint="eastAsia"/>
        </w:rPr>
        <w:t>第</w:t>
      </w:r>
      <w:r>
        <w:rPr>
          <w:rFonts w:hint="eastAsia"/>
        </w:rPr>
        <w:t>12</w:t>
      </w:r>
      <w:r w:rsidR="00C62A4A" w:rsidRPr="009C3042">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經審查，外國法院的離婚判決具有下列情形之一的，不予承認：</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（一）判決尚未發生法律效力；</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（二）作出判決的外國法院對案件沒有管轄權；</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（三）判決是在被告缺席且未得到合法傳喚情況下作出的；</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（四）該當事人之間的離婚案件，我國法院正在審理或已作出判決，或者第三國法院對該當事人之間作出的離婚案件判決已為我國法院所承認；</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（五）判決違反我國法律的基本原則或者危害我國國家主權、安全和社會公共利益。</w:t>
      </w:r>
    </w:p>
    <w:p w:rsidR="00F167A3" w:rsidRPr="009C3042" w:rsidRDefault="005C2E5C" w:rsidP="00CC7680">
      <w:pPr>
        <w:pStyle w:val="2"/>
      </w:pPr>
      <w:r>
        <w:rPr>
          <w:rFonts w:hint="eastAsia"/>
        </w:rPr>
        <w:t>第</w:t>
      </w:r>
      <w:r>
        <w:rPr>
          <w:rFonts w:hint="eastAsia"/>
        </w:rPr>
        <w:t>13</w:t>
      </w:r>
      <w:r w:rsidR="00C62A4A" w:rsidRPr="009C3042">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對外國法院的離婚判決的承認，以裁定方式作出。沒有第</w:t>
      </w:r>
      <w:hyperlink w:anchor="a12" w:history="1">
        <w:r w:rsidR="00C62A4A" w:rsidRPr="00D041B2">
          <w:rPr>
            <w:rStyle w:val="a3"/>
            <w:rFonts w:ascii="Arial Unicode MS" w:hAnsi="Arial Unicode MS" w:hint="eastAsia"/>
          </w:rPr>
          <w:t>十二</w:t>
        </w:r>
      </w:hyperlink>
      <w:r w:rsidR="00C62A4A" w:rsidRPr="00C62A4A">
        <w:rPr>
          <w:rFonts w:ascii="Arial Unicode MS" w:hAnsi="Arial Unicode MS" w:hint="eastAsia"/>
          <w:sz w:val="20"/>
        </w:rPr>
        <w:t>條規定的情形的，裁定承認其法律效力；具有第</w:t>
      </w:r>
      <w:hyperlink w:anchor="a12" w:history="1">
        <w:r w:rsidR="00C62A4A" w:rsidRPr="00D041B2">
          <w:rPr>
            <w:rStyle w:val="a3"/>
            <w:rFonts w:ascii="Arial Unicode MS" w:hAnsi="Arial Unicode MS" w:hint="eastAsia"/>
          </w:rPr>
          <w:t>十二</w:t>
        </w:r>
      </w:hyperlink>
      <w:r w:rsidR="00C62A4A" w:rsidRPr="00C62A4A">
        <w:rPr>
          <w:rFonts w:ascii="Arial Unicode MS" w:hAnsi="Arial Unicode MS" w:hint="eastAsia"/>
          <w:sz w:val="20"/>
        </w:rPr>
        <w:t>條規定的情形之一的，裁定駁回申請人的申請。</w:t>
      </w:r>
    </w:p>
    <w:p w:rsidR="00F167A3" w:rsidRPr="009C3042" w:rsidRDefault="005C2E5C" w:rsidP="00CC7680">
      <w:pPr>
        <w:pStyle w:val="2"/>
      </w:pPr>
      <w:r>
        <w:rPr>
          <w:rFonts w:hint="eastAsia"/>
        </w:rPr>
        <w:t>第</w:t>
      </w:r>
      <w:r>
        <w:rPr>
          <w:rFonts w:hint="eastAsia"/>
        </w:rPr>
        <w:t>14</w:t>
      </w:r>
      <w:r w:rsidR="00C62A4A" w:rsidRPr="009C3042">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裁定書以“中華人民共和國××中級人民法院”名義作出，由合議庭成員署名，加蓋人民法院印章。</w:t>
      </w:r>
    </w:p>
    <w:p w:rsidR="00F167A3" w:rsidRPr="009C3042" w:rsidRDefault="005C2E5C" w:rsidP="00CC7680">
      <w:pPr>
        <w:pStyle w:val="2"/>
      </w:pPr>
      <w:r>
        <w:rPr>
          <w:rFonts w:hint="eastAsia"/>
        </w:rPr>
        <w:t>第</w:t>
      </w:r>
      <w:r>
        <w:rPr>
          <w:rFonts w:hint="eastAsia"/>
        </w:rPr>
        <w:t>15</w:t>
      </w:r>
      <w:r w:rsidR="00C62A4A" w:rsidRPr="009C3042">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裁定書一經送達，即發生法律效力。</w:t>
      </w:r>
    </w:p>
    <w:p w:rsidR="00F167A3" w:rsidRPr="009C3042" w:rsidRDefault="005C2E5C" w:rsidP="00CC7680">
      <w:pPr>
        <w:pStyle w:val="2"/>
      </w:pPr>
      <w:r>
        <w:rPr>
          <w:rFonts w:hint="eastAsia"/>
        </w:rPr>
        <w:t>第</w:t>
      </w:r>
      <w:r>
        <w:rPr>
          <w:rFonts w:hint="eastAsia"/>
        </w:rPr>
        <w:t>16</w:t>
      </w:r>
      <w:r w:rsidR="00C62A4A" w:rsidRPr="009C3042">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申請承認外國法院的離婚判決，申請人應向人民法院交納案件受理費人民幣一百元。</w:t>
      </w:r>
    </w:p>
    <w:p w:rsidR="00F167A3" w:rsidRPr="00604185" w:rsidRDefault="005C2E5C" w:rsidP="00CC7680">
      <w:pPr>
        <w:pStyle w:val="2"/>
      </w:pPr>
      <w:r>
        <w:rPr>
          <w:rFonts w:hint="eastAsia"/>
        </w:rPr>
        <w:lastRenderedPageBreak/>
        <w:t>第</w:t>
      </w:r>
      <w:r>
        <w:rPr>
          <w:rFonts w:hint="eastAsia"/>
        </w:rPr>
        <w:t>17</w:t>
      </w:r>
      <w:r w:rsidR="00C62A4A" w:rsidRPr="00604185">
        <w:rPr>
          <w:rFonts w:hint="eastAsia"/>
        </w:rPr>
        <w:t>條</w:t>
      </w:r>
    </w:p>
    <w:p w:rsidR="00C62A4A" w:rsidRPr="00C62A4A" w:rsidRDefault="00E31AC9"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申請承認外國法院的離婚判決，委託他人代理的，必須向人民法院提交由委託人簽名或蓋章的授權委託書。委託人在國外出具的委託書，必須經我國駐該國的使、領館證明。</w:t>
      </w:r>
    </w:p>
    <w:p w:rsidR="00E31AC9" w:rsidRPr="00604185" w:rsidRDefault="005C2E5C" w:rsidP="00CC7680">
      <w:pPr>
        <w:pStyle w:val="2"/>
      </w:pPr>
      <w:r>
        <w:rPr>
          <w:rFonts w:hint="eastAsia"/>
        </w:rPr>
        <w:t>第</w:t>
      </w:r>
      <w:r>
        <w:rPr>
          <w:rFonts w:hint="eastAsia"/>
        </w:rPr>
        <w:t>18</w:t>
      </w:r>
      <w:r w:rsidR="00C62A4A" w:rsidRPr="00604185">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人民法院受理離婚訴訟後，原告一方變更請求申請承認外國法院離婚判決，或者被告一方另提出承認外國法院離婚判決申請的，其申請均不受理。</w:t>
      </w:r>
    </w:p>
    <w:p w:rsidR="00E31AC9" w:rsidRPr="00604185" w:rsidRDefault="005C2E5C" w:rsidP="00CC7680">
      <w:pPr>
        <w:pStyle w:val="2"/>
      </w:pPr>
      <w:r>
        <w:rPr>
          <w:rFonts w:hint="eastAsia"/>
        </w:rPr>
        <w:t>第</w:t>
      </w:r>
      <w:r>
        <w:rPr>
          <w:rFonts w:hint="eastAsia"/>
        </w:rPr>
        <w:t>19</w:t>
      </w:r>
      <w:r w:rsidR="00C62A4A" w:rsidRPr="00604185">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人民總法院受理承認外國法院離婚判決的申請後，對方當事人向人民法院起訴離婚的，人民法院不予受理。</w:t>
      </w:r>
    </w:p>
    <w:p w:rsidR="00E31AC9" w:rsidRPr="00604185" w:rsidRDefault="00C62A4A" w:rsidP="00CC7680">
      <w:pPr>
        <w:pStyle w:val="2"/>
      </w:pPr>
      <w:r w:rsidRPr="00604185">
        <w:rPr>
          <w:rFonts w:hint="eastAsia"/>
        </w:rPr>
        <w:t>第</w:t>
      </w:r>
      <w:r w:rsidR="005C2E5C">
        <w:rPr>
          <w:rFonts w:hint="eastAsia"/>
        </w:rPr>
        <w:t>20</w:t>
      </w:r>
      <w:r w:rsidR="005C2E5C">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當事人之間的婚姻雖經外國法院判決，但未向人民法院申請承認的，不妨礙當事人一方另行向人民法院提出離婚訴訟。</w:t>
      </w:r>
    </w:p>
    <w:p w:rsidR="00E31AC9" w:rsidRPr="00604185" w:rsidRDefault="00C62A4A" w:rsidP="00CC7680">
      <w:pPr>
        <w:pStyle w:val="2"/>
      </w:pPr>
      <w:r w:rsidRPr="00604185">
        <w:rPr>
          <w:rFonts w:hint="eastAsia"/>
        </w:rPr>
        <w:t>第</w:t>
      </w:r>
      <w:r w:rsidR="005C2E5C">
        <w:rPr>
          <w:rFonts w:hint="eastAsia"/>
        </w:rPr>
        <w:t>21</w:t>
      </w:r>
      <w:r w:rsidRPr="00604185">
        <w:rPr>
          <w:rFonts w:hint="eastAsia"/>
        </w:rPr>
        <w:t>條</w:t>
      </w:r>
    </w:p>
    <w:p w:rsidR="00C62A4A" w:rsidRPr="00C62A4A"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申請人的申請為人民法院受理後，申請人可以撤回申請，人民法院以裁定准予撤回。申請人撤回申請後，不得再提出申請，但可以另向人民法院起訴離婚。</w:t>
      </w:r>
    </w:p>
    <w:p w:rsidR="00E31AC9" w:rsidRPr="00604185" w:rsidRDefault="00C62A4A" w:rsidP="00CC7680">
      <w:pPr>
        <w:pStyle w:val="2"/>
      </w:pPr>
      <w:r w:rsidRPr="00604185">
        <w:rPr>
          <w:rFonts w:hint="eastAsia"/>
        </w:rPr>
        <w:t>第</w:t>
      </w:r>
      <w:r w:rsidR="005C2E5C">
        <w:rPr>
          <w:rFonts w:hint="eastAsia"/>
        </w:rPr>
        <w:t>22</w:t>
      </w:r>
      <w:r w:rsidRPr="00604185">
        <w:rPr>
          <w:rFonts w:hint="eastAsia"/>
        </w:rPr>
        <w:t>條</w:t>
      </w:r>
    </w:p>
    <w:p w:rsidR="00A54ED0" w:rsidRPr="002C7B09" w:rsidRDefault="00604185" w:rsidP="00C62A4A">
      <w:pPr>
        <w:ind w:left="142"/>
        <w:jc w:val="both"/>
        <w:rPr>
          <w:rFonts w:ascii="Arial Unicode MS" w:hAnsi="Arial Unicode MS"/>
          <w:sz w:val="20"/>
        </w:rPr>
      </w:pPr>
      <w:r>
        <w:rPr>
          <w:rFonts w:ascii="Arial Unicode MS" w:hAnsi="Arial Unicode MS" w:hint="eastAsia"/>
          <w:sz w:val="20"/>
        </w:rPr>
        <w:t xml:space="preserve">　　</w:t>
      </w:r>
      <w:r w:rsidR="00C62A4A" w:rsidRPr="00C62A4A">
        <w:rPr>
          <w:rFonts w:ascii="Arial Unicode MS" w:hAnsi="Arial Unicode MS" w:hint="eastAsia"/>
          <w:sz w:val="20"/>
        </w:rPr>
        <w:t>申請人的申請被駁回後，不得再提出申請，但可以另行向人民法院起訴離婚。</w:t>
      </w:r>
    </w:p>
    <w:p w:rsidR="00E31AC9" w:rsidRPr="002C7B09" w:rsidRDefault="00E31AC9" w:rsidP="00E31AC9">
      <w:pPr>
        <w:ind w:firstLineChars="100" w:firstLine="200"/>
        <w:rPr>
          <w:rFonts w:ascii="Arial Unicode MS" w:hAnsi="Arial Unicode MS"/>
          <w:b/>
          <w:color w:val="993300"/>
          <w:sz w:val="20"/>
        </w:rPr>
      </w:pPr>
    </w:p>
    <w:p w:rsidR="00422423" w:rsidRPr="002C7B09" w:rsidRDefault="00422423" w:rsidP="000364E4">
      <w:pPr>
        <w:ind w:firstLineChars="100" w:firstLine="200"/>
        <w:rPr>
          <w:rFonts w:ascii="Arial Unicode MS" w:hAnsi="Arial Unicode MS"/>
          <w:b/>
          <w:color w:val="993300"/>
          <w:sz w:val="20"/>
        </w:rPr>
      </w:pPr>
    </w:p>
    <w:p w:rsidR="0064091C" w:rsidRPr="002C7B09" w:rsidRDefault="0064091C" w:rsidP="0064091C">
      <w:pPr>
        <w:ind w:leftChars="50" w:left="12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64091C" w:rsidRDefault="0064091C" w:rsidP="0064091C">
      <w:pPr>
        <w:ind w:leftChars="71" w:left="170"/>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B4ABA" w:rsidRPr="0064091C">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40" w:rsidRDefault="004E2E40">
      <w:r>
        <w:separator/>
      </w:r>
    </w:p>
  </w:endnote>
  <w:endnote w:type="continuationSeparator" w:id="0">
    <w:p w:rsidR="004E2E40" w:rsidRDefault="004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C9" w:rsidRDefault="00E31A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1AC9" w:rsidRDefault="00E31A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C9" w:rsidRDefault="00E31A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6ACD">
      <w:rPr>
        <w:rStyle w:val="a7"/>
        <w:noProof/>
      </w:rPr>
      <w:t>1</w:t>
    </w:r>
    <w:r>
      <w:rPr>
        <w:rStyle w:val="a7"/>
      </w:rPr>
      <w:fldChar w:fldCharType="end"/>
    </w:r>
  </w:p>
  <w:p w:rsidR="00E31AC9" w:rsidRPr="00D041B2" w:rsidRDefault="00E31AC9" w:rsidP="009C7DF2">
    <w:pPr>
      <w:pStyle w:val="a6"/>
      <w:ind w:right="360"/>
      <w:jc w:val="right"/>
      <w:rPr>
        <w:rFonts w:ascii="Arial Unicode MS" w:hAnsi="Arial Unicode MS"/>
        <w:sz w:val="18"/>
      </w:rPr>
    </w:pPr>
    <w:r w:rsidRPr="00D041B2">
      <w:rPr>
        <w:rFonts w:ascii="Arial Unicode MS" w:hAnsi="Arial Unicode MS" w:hint="eastAsia"/>
        <w:color w:val="000000"/>
        <w:sz w:val="18"/>
      </w:rPr>
      <w:t>&lt;&lt;</w:t>
    </w:r>
    <w:r w:rsidR="00D041B2" w:rsidRPr="00D041B2">
      <w:rPr>
        <w:rFonts w:ascii="Arial Unicode MS" w:hAnsi="Arial Unicode MS" w:hint="eastAsia"/>
        <w:color w:val="000000"/>
        <w:sz w:val="18"/>
      </w:rPr>
      <w:t>關於中國公民申請承認外國法院離婚判決程序問題的規定</w:t>
    </w:r>
    <w:r w:rsidRPr="00D041B2">
      <w:rPr>
        <w:rFonts w:ascii="Arial Unicode MS" w:hAnsi="Arial Unicode MS" w:hint="eastAsia"/>
        <w:color w:val="000000"/>
        <w:sz w:val="18"/>
      </w:rPr>
      <w:t xml:space="preserve">&gt;&gt; </w:t>
    </w:r>
    <w:r w:rsidRPr="00D041B2">
      <w:rPr>
        <w:rFonts w:ascii="Arial Unicode MS" w:hAnsi="Arial Unicode MS"/>
        <w:sz w:val="18"/>
      </w:rPr>
      <w:t>S</w:t>
    </w:r>
    <w:r w:rsidRPr="00D041B2">
      <w:rPr>
        <w:rFonts w:ascii="Arial Unicode MS" w:hAnsi="Arial Unicode MS" w:hint="eastAsia"/>
        <w:sz w:val="18"/>
      </w:rPr>
      <w:t xml:space="preserve">-link </w:t>
    </w:r>
    <w:r w:rsidRPr="00D041B2">
      <w:rPr>
        <w:rFonts w:ascii="Arial Unicode MS" w:hAnsi="Arial Unicode MS" w:hint="eastAsia"/>
        <w:sz w:val="18"/>
      </w:rPr>
      <w:t>電子六法全書</w:t>
    </w:r>
  </w:p>
  <w:p w:rsidR="00E31AC9" w:rsidRDefault="00E31AC9"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40" w:rsidRDefault="004E2E40">
      <w:r>
        <w:separator/>
      </w:r>
    </w:p>
  </w:footnote>
  <w:footnote w:type="continuationSeparator" w:id="0">
    <w:p w:rsidR="004E2E40" w:rsidRDefault="004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1DAB"/>
    <w:rsid w:val="0002689F"/>
    <w:rsid w:val="000364E4"/>
    <w:rsid w:val="000757DB"/>
    <w:rsid w:val="000A22A0"/>
    <w:rsid w:val="000C03AC"/>
    <w:rsid w:val="00187906"/>
    <w:rsid w:val="0019377F"/>
    <w:rsid w:val="001D3916"/>
    <w:rsid w:val="001D5B6D"/>
    <w:rsid w:val="001E1466"/>
    <w:rsid w:val="001E698B"/>
    <w:rsid w:val="001F4F28"/>
    <w:rsid w:val="00205A43"/>
    <w:rsid w:val="00216232"/>
    <w:rsid w:val="00231657"/>
    <w:rsid w:val="00246691"/>
    <w:rsid w:val="002A00C9"/>
    <w:rsid w:val="002C7B09"/>
    <w:rsid w:val="00357771"/>
    <w:rsid w:val="00367403"/>
    <w:rsid w:val="003A098F"/>
    <w:rsid w:val="00400024"/>
    <w:rsid w:val="00422423"/>
    <w:rsid w:val="00425BD2"/>
    <w:rsid w:val="00434129"/>
    <w:rsid w:val="004438D6"/>
    <w:rsid w:val="004B565F"/>
    <w:rsid w:val="004E2E40"/>
    <w:rsid w:val="00507C3E"/>
    <w:rsid w:val="00514EF9"/>
    <w:rsid w:val="00520589"/>
    <w:rsid w:val="00530C3A"/>
    <w:rsid w:val="005362B2"/>
    <w:rsid w:val="00547303"/>
    <w:rsid w:val="00564924"/>
    <w:rsid w:val="00593D8B"/>
    <w:rsid w:val="00593E98"/>
    <w:rsid w:val="005C2E5C"/>
    <w:rsid w:val="005C34B4"/>
    <w:rsid w:val="00604185"/>
    <w:rsid w:val="00606ACD"/>
    <w:rsid w:val="006327FE"/>
    <w:rsid w:val="0064091C"/>
    <w:rsid w:val="00644D23"/>
    <w:rsid w:val="00657CE6"/>
    <w:rsid w:val="00662D33"/>
    <w:rsid w:val="00671D16"/>
    <w:rsid w:val="006815F6"/>
    <w:rsid w:val="006B11E3"/>
    <w:rsid w:val="006F39F6"/>
    <w:rsid w:val="006F4F17"/>
    <w:rsid w:val="00703C53"/>
    <w:rsid w:val="007158AF"/>
    <w:rsid w:val="00806F82"/>
    <w:rsid w:val="00826B78"/>
    <w:rsid w:val="00861746"/>
    <w:rsid w:val="0087646F"/>
    <w:rsid w:val="00882F8B"/>
    <w:rsid w:val="008C2F57"/>
    <w:rsid w:val="008E4075"/>
    <w:rsid w:val="008F5B52"/>
    <w:rsid w:val="008F62BC"/>
    <w:rsid w:val="0094452D"/>
    <w:rsid w:val="00951A4B"/>
    <w:rsid w:val="00984DE9"/>
    <w:rsid w:val="009B3480"/>
    <w:rsid w:val="009C3042"/>
    <w:rsid w:val="009C530C"/>
    <w:rsid w:val="009C7DF2"/>
    <w:rsid w:val="009D0211"/>
    <w:rsid w:val="009F6333"/>
    <w:rsid w:val="00A0153F"/>
    <w:rsid w:val="00A54ED0"/>
    <w:rsid w:val="00A8721A"/>
    <w:rsid w:val="00AF2C2D"/>
    <w:rsid w:val="00B26BB2"/>
    <w:rsid w:val="00B340AD"/>
    <w:rsid w:val="00B53C8C"/>
    <w:rsid w:val="00B67257"/>
    <w:rsid w:val="00B86C53"/>
    <w:rsid w:val="00BC16C5"/>
    <w:rsid w:val="00C17CC6"/>
    <w:rsid w:val="00C2397E"/>
    <w:rsid w:val="00C55973"/>
    <w:rsid w:val="00C62A4A"/>
    <w:rsid w:val="00CB43C3"/>
    <w:rsid w:val="00CC7680"/>
    <w:rsid w:val="00CD0FA6"/>
    <w:rsid w:val="00CD3C3B"/>
    <w:rsid w:val="00CF444E"/>
    <w:rsid w:val="00D041B2"/>
    <w:rsid w:val="00D10FE6"/>
    <w:rsid w:val="00D46AE7"/>
    <w:rsid w:val="00D51F19"/>
    <w:rsid w:val="00D53A6C"/>
    <w:rsid w:val="00D70BFB"/>
    <w:rsid w:val="00D759C3"/>
    <w:rsid w:val="00D93244"/>
    <w:rsid w:val="00DB4ABA"/>
    <w:rsid w:val="00DF4ADE"/>
    <w:rsid w:val="00E31AC9"/>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167A3"/>
    <w:rsid w:val="00F229F5"/>
    <w:rsid w:val="00F2371C"/>
    <w:rsid w:val="00F26DC0"/>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CC7680"/>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19377F"/>
    <w:rPr>
      <w:rFonts w:ascii="新細明體" w:hAnsi="新細明體"/>
      <w:sz w:val="20"/>
      <w:szCs w:val="18"/>
    </w:rPr>
  </w:style>
  <w:style w:type="character" w:customStyle="1" w:styleId="a9">
    <w:name w:val="文件引導模式 字元"/>
    <w:link w:val="a8"/>
    <w:rsid w:val="0019377F"/>
    <w:rPr>
      <w:rFonts w:ascii="新細明體" w:hAnsi="新細明體"/>
      <w:kern w:val="2"/>
      <w:szCs w:val="18"/>
    </w:rPr>
  </w:style>
  <w:style w:type="character" w:customStyle="1" w:styleId="20">
    <w:name w:val="標題 2 字元"/>
    <w:link w:val="2"/>
    <w:rsid w:val="00CC7680"/>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Gid=5330" TargetMode="External"/><Relationship Id="rId5" Type="http://schemas.openxmlformats.org/officeDocument/2006/relationships/webSettings" Target="webSettings.xml"/><Relationship Id="rId15" Type="http://schemas.openxmlformats.org/officeDocument/2006/relationships/hyperlink" Target="http://www.6law.idv.tw/6law/law-gb/&#38364;&#26044;&#20013;&#22283;&#20844;&#27665;&#30003;&#35531;&#25215;&#35469;&#22806;&#22283;&#27861;&#38498;&#38626;&#23130;&#21028;&#27770;&#31243;&#24207;&#21839;&#38988;&#30340;&#35215;&#23450;.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3211361</vt:i4>
      </vt:variant>
      <vt:variant>
        <vt:i4>33</vt:i4>
      </vt:variant>
      <vt:variant>
        <vt:i4>0</vt:i4>
      </vt:variant>
      <vt:variant>
        <vt:i4>5</vt:i4>
      </vt:variant>
      <vt:variant>
        <vt:lpwstr/>
      </vt:variant>
      <vt:variant>
        <vt:lpwstr>a12</vt:lpwstr>
      </vt:variant>
      <vt:variant>
        <vt:i4>3211361</vt:i4>
      </vt:variant>
      <vt:variant>
        <vt:i4>30</vt:i4>
      </vt:variant>
      <vt:variant>
        <vt:i4>0</vt:i4>
      </vt:variant>
      <vt:variant>
        <vt:i4>5</vt:i4>
      </vt:variant>
      <vt:variant>
        <vt:lpwstr/>
      </vt:variant>
      <vt:variant>
        <vt:lpwstr>a12</vt:lpwstr>
      </vt:variant>
      <vt:variant>
        <vt:i4>3211361</vt:i4>
      </vt:variant>
      <vt:variant>
        <vt:i4>27</vt:i4>
      </vt:variant>
      <vt:variant>
        <vt:i4>0</vt:i4>
      </vt:variant>
      <vt:variant>
        <vt:i4>5</vt:i4>
      </vt:variant>
      <vt:variant>
        <vt:lpwstr/>
      </vt:variant>
      <vt:variant>
        <vt:lpwstr>a10</vt:lpwstr>
      </vt:variant>
      <vt:variant>
        <vt:i4>3670113</vt:i4>
      </vt:variant>
      <vt:variant>
        <vt:i4>24</vt:i4>
      </vt:variant>
      <vt:variant>
        <vt:i4>0</vt:i4>
      </vt:variant>
      <vt:variant>
        <vt:i4>5</vt:i4>
      </vt:variant>
      <vt:variant>
        <vt:lpwstr/>
      </vt:variant>
      <vt:variant>
        <vt:lpwstr>a8</vt:lpwstr>
      </vt:variant>
      <vt:variant>
        <vt:i4>3735649</vt:i4>
      </vt:variant>
      <vt:variant>
        <vt:i4>21</vt:i4>
      </vt:variant>
      <vt:variant>
        <vt:i4>0</vt:i4>
      </vt:variant>
      <vt:variant>
        <vt:i4>5</vt:i4>
      </vt:variant>
      <vt:variant>
        <vt:lpwstr/>
      </vt:variant>
      <vt:variant>
        <vt:lpwstr>a9</vt:lpwstr>
      </vt:variant>
      <vt:variant>
        <vt:i4>3670113</vt:i4>
      </vt:variant>
      <vt:variant>
        <vt:i4>18</vt:i4>
      </vt:variant>
      <vt:variant>
        <vt:i4>0</vt:i4>
      </vt:variant>
      <vt:variant>
        <vt:i4>5</vt:i4>
      </vt:variant>
      <vt:variant>
        <vt:lpwstr/>
      </vt:variant>
      <vt:variant>
        <vt:lpwstr>a8</vt:lpwstr>
      </vt:variant>
      <vt:variant>
        <vt:i4>1857218296</vt:i4>
      </vt:variant>
      <vt:variant>
        <vt:i4>15</vt:i4>
      </vt:variant>
      <vt:variant>
        <vt:i4>0</vt:i4>
      </vt:variant>
      <vt:variant>
        <vt:i4>5</vt:i4>
      </vt:variant>
      <vt:variant>
        <vt:lpwstr>http://www.6law.idv.tw/6law/law-gb/關於中國公民申請承認外國法院離婚判決程序問題的規定.htm</vt:lpwstr>
      </vt:variant>
      <vt:variant>
        <vt:lpwstr/>
      </vt:variant>
      <vt:variant>
        <vt:i4>-830459693</vt:i4>
      </vt:variant>
      <vt:variant>
        <vt:i4>12</vt:i4>
      </vt:variant>
      <vt:variant>
        <vt:i4>0</vt:i4>
      </vt:variant>
      <vt:variant>
        <vt:i4>5</vt:i4>
      </vt:variant>
      <vt:variant>
        <vt:lpwstr>../S-link大陸法規索引.doc</vt:lpwstr>
      </vt:variant>
      <vt:variant>
        <vt:lpwstr>最高人民法院關於中國公民申請承認外國法院離婚判決程序問題的規定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最高人民法院關於中國公民申請承認外國法院離婚判決程序問題的規定</dc:title>
  <dc:subject/>
  <dc:creator>S-link 電子六法-黃婉玲</dc:creator>
  <cp:keywords/>
  <cp:lastModifiedBy>S-link電子六法黃婉玲</cp:lastModifiedBy>
  <cp:revision>4</cp:revision>
  <dcterms:created xsi:type="dcterms:W3CDTF">2014-11-28T01:12:00Z</dcterms:created>
  <dcterms:modified xsi:type="dcterms:W3CDTF">2017-10-21T12:55:00Z</dcterms:modified>
</cp:coreProperties>
</file>