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6E13E" w14:textId="77777777" w:rsidR="00AB02D1" w:rsidRDefault="00855953" w:rsidP="005D7873">
      <w:pPr>
        <w:adjustRightInd w:val="0"/>
        <w:snapToGrid w:val="0"/>
        <w:ind w:rightChars="8" w:right="16"/>
        <w:jc w:val="right"/>
        <w:rPr>
          <w:rFonts w:ascii="Arial Unicode MS" w:hAnsi="Arial Unicode MS"/>
        </w:rPr>
      </w:pPr>
      <w:r>
        <w:rPr>
          <w:rFonts w:ascii="Arial Unicode MS" w:hAnsi="Arial Unicode MS"/>
          <w:noProof/>
        </w:rPr>
        <w:drawing>
          <wp:inline distT="0" distB="0" distL="0" distR="0" wp14:anchorId="5C66CA1D" wp14:editId="6E64A275">
            <wp:extent cx="505460" cy="464185"/>
            <wp:effectExtent l="0" t="0" r="8890" b="0"/>
            <wp:docPr id="1" name="圖片 1" descr="6lawr">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6law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460" cy="464185"/>
                    </a:xfrm>
                    <a:prstGeom prst="rect">
                      <a:avLst/>
                    </a:prstGeom>
                    <a:noFill/>
                    <a:ln>
                      <a:noFill/>
                    </a:ln>
                  </pic:spPr>
                </pic:pic>
              </a:graphicData>
            </a:graphic>
          </wp:inline>
        </w:drawing>
      </w:r>
    </w:p>
    <w:p w14:paraId="557BEACD" w14:textId="77777777" w:rsidR="00AB02D1" w:rsidRDefault="00AB02D1" w:rsidP="005D7873">
      <w:pPr>
        <w:tabs>
          <w:tab w:val="left" w:pos="9498"/>
        </w:tabs>
        <w:adjustRightInd w:val="0"/>
        <w:snapToGrid w:val="0"/>
        <w:ind w:left="4313" w:rightChars="8" w:right="16" w:hangingChars="2396" w:hanging="4313"/>
        <w:jc w:val="right"/>
        <w:rPr>
          <w:color w:val="7F7F7F"/>
          <w:sz w:val="18"/>
          <w:szCs w:val="20"/>
        </w:rPr>
      </w:pPr>
      <w:bookmarkStart w:id="0" w:name="top"/>
      <w:bookmarkEnd w:id="0"/>
      <w:r>
        <w:rPr>
          <w:rFonts w:hint="eastAsia"/>
          <w:color w:val="5F5F5F"/>
          <w:sz w:val="18"/>
          <w:szCs w:val="20"/>
          <w:lang w:val="zh-TW"/>
        </w:rPr>
        <w:t>【</w:t>
      </w:r>
      <w:hyperlink r:id="rId9" w:tgtFrame="_blank" w:history="1">
        <w:r w:rsidRPr="00A82253">
          <w:rPr>
            <w:rStyle w:val="a3"/>
            <w:sz w:val="18"/>
            <w:szCs w:val="20"/>
          </w:rPr>
          <w:t>更新</w:t>
        </w:r>
      </w:hyperlink>
      <w:r>
        <w:rPr>
          <w:rFonts w:hint="eastAsia"/>
          <w:color w:val="7F7F7F"/>
          <w:sz w:val="18"/>
          <w:szCs w:val="20"/>
          <w:lang w:val="zh-TW"/>
        </w:rPr>
        <w:t>】</w:t>
      </w:r>
      <w:r w:rsidR="009C5D19">
        <w:rPr>
          <w:rFonts w:ascii="Arial Unicode MS" w:hAnsi="Arial Unicode MS"/>
          <w:color w:val="5F5F5F"/>
          <w:sz w:val="18"/>
          <w:szCs w:val="20"/>
        </w:rPr>
        <w:t>2017/10/2</w:t>
      </w:r>
      <w:r w:rsidR="009C5D19">
        <w:rPr>
          <w:rFonts w:ascii="Arial Unicode MS" w:hAnsi="Arial Unicode MS" w:hint="eastAsia"/>
          <w:color w:val="5F5F5F"/>
          <w:sz w:val="18"/>
          <w:szCs w:val="20"/>
        </w:rPr>
        <w:t>0</w:t>
      </w:r>
      <w:r>
        <w:rPr>
          <w:rFonts w:hint="eastAsia"/>
          <w:color w:val="7F7F7F"/>
          <w:sz w:val="18"/>
          <w:szCs w:val="20"/>
          <w:lang w:val="zh-TW"/>
        </w:rPr>
        <w:t>【</w:t>
      </w:r>
      <w:hyperlink r:id="rId10" w:history="1">
        <w:r w:rsidRPr="009C5D19">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Pr>
            <w:rStyle w:val="a3"/>
            <w:color w:val="7F7F7F"/>
            <w:sz w:val="18"/>
            <w:szCs w:val="20"/>
          </w:rPr>
          <w:t>黃婉玲</w:t>
        </w:r>
      </w:hyperlink>
    </w:p>
    <w:p w14:paraId="0DEBAE2A" w14:textId="77777777" w:rsidR="00AB02D1" w:rsidRDefault="00172209" w:rsidP="00AB02D1">
      <w:pPr>
        <w:adjustRightInd w:val="0"/>
        <w:snapToGrid w:val="0"/>
        <w:jc w:val="right"/>
        <w:rPr>
          <w:color w:val="808000"/>
          <w:sz w:val="18"/>
          <w:szCs w:val="20"/>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14:paraId="2585461E" w14:textId="77777777" w:rsidR="00201E46" w:rsidRDefault="00F30D9A" w:rsidP="00D44AB2">
      <w:pPr>
        <w:jc w:val="right"/>
        <w:rPr>
          <w:rFonts w:ascii="Arial Unicode MS" w:hAnsi="Arial Unicode MS"/>
          <w:b/>
          <w:color w:val="5F5F5F"/>
          <w:sz w:val="18"/>
        </w:rPr>
      </w:pPr>
      <w:hyperlink r:id="rId12" w:history="1">
        <w:r w:rsidR="00D44AB2">
          <w:rPr>
            <w:rFonts w:ascii="Arial Unicode MS" w:hAnsi="Arial Unicode MS" w:hint="eastAsia"/>
            <w:color w:val="808000"/>
            <w:sz w:val="18"/>
            <w:szCs w:val="20"/>
            <w:u w:val="single"/>
          </w:rPr>
          <w:t>S-link</w:t>
        </w:r>
        <w:r w:rsidR="00D44AB2">
          <w:rPr>
            <w:rFonts w:ascii="Arial Unicode MS" w:hAnsi="Arial Unicode MS" w:hint="eastAsia"/>
            <w:color w:val="808000"/>
            <w:sz w:val="18"/>
            <w:szCs w:val="20"/>
            <w:u w:val="single"/>
          </w:rPr>
          <w:t>總索引</w:t>
        </w:r>
      </w:hyperlink>
      <w:r w:rsidR="00D44AB2" w:rsidRPr="00493C0D">
        <w:rPr>
          <w:rFonts w:ascii="Arial Unicode MS" w:hAnsi="Arial Unicode MS" w:hint="eastAsia"/>
          <w:b/>
          <w:color w:val="808000"/>
          <w:sz w:val="18"/>
          <w:szCs w:val="20"/>
        </w:rPr>
        <w:t>&gt;&gt;</w:t>
      </w:r>
      <w:hyperlink r:id="rId13" w:anchor="非藥用類麻醉藥品和精神藥品列管辦法" w:history="1">
        <w:r w:rsidR="00D44AB2" w:rsidRPr="00B309AA">
          <w:rPr>
            <w:rStyle w:val="a3"/>
            <w:rFonts w:ascii="Arial Unicode MS" w:hAnsi="Arial Unicode MS" w:hint="eastAsia"/>
            <w:sz w:val="18"/>
          </w:rPr>
          <w:t>S-link</w:t>
        </w:r>
        <w:r w:rsidR="00D44AB2" w:rsidRPr="00B309AA">
          <w:rPr>
            <w:rStyle w:val="a3"/>
            <w:rFonts w:ascii="Arial Unicode MS" w:hAnsi="Arial Unicode MS" w:hint="eastAsia"/>
            <w:sz w:val="18"/>
          </w:rPr>
          <w:t>大陸法規索引</w:t>
        </w:r>
      </w:hyperlink>
      <w:r w:rsidR="00D44AB2" w:rsidRPr="00B309AA">
        <w:rPr>
          <w:rFonts w:ascii="Arial Unicode MS" w:hAnsi="Arial Unicode MS" w:hint="eastAsia"/>
          <w:b/>
          <w:color w:val="5F5F5F"/>
          <w:sz w:val="18"/>
        </w:rPr>
        <w:t>&gt;&gt;</w:t>
      </w:r>
      <w:hyperlink r:id="rId14" w:tgtFrame="_blank" w:history="1">
        <w:r w:rsidR="00D44AB2" w:rsidRPr="007E576E">
          <w:rPr>
            <w:rStyle w:val="a3"/>
            <w:rFonts w:hint="eastAsia"/>
            <w:sz w:val="18"/>
          </w:rPr>
          <w:t>線上網頁版</w:t>
        </w:r>
      </w:hyperlink>
      <w:r w:rsidR="00D44AB2" w:rsidRPr="0094524D">
        <w:rPr>
          <w:rFonts w:ascii="Arial Unicode MS" w:hAnsi="Arial Unicode MS" w:hint="eastAsia"/>
          <w:b/>
          <w:color w:val="5F5F5F"/>
          <w:sz w:val="18"/>
        </w:rPr>
        <w:t>&gt;&gt;</w:t>
      </w:r>
    </w:p>
    <w:p w14:paraId="04DFC3F8" w14:textId="77777777" w:rsidR="004D4C59" w:rsidRPr="00E9022C" w:rsidRDefault="004D4C59" w:rsidP="00D44AB2">
      <w:pPr>
        <w:jc w:val="right"/>
        <w:rPr>
          <w:rFonts w:ascii="Arial Unicode MS" w:hAnsi="Arial Unicode MS"/>
          <w:color w:val="000000"/>
          <w:u w:val="single"/>
        </w:rPr>
      </w:pPr>
    </w:p>
    <w:p w14:paraId="176DB71F" w14:textId="43897BAE" w:rsidR="00172209" w:rsidRPr="00E9022C" w:rsidRDefault="00201E46" w:rsidP="00D44AB2">
      <w:pPr>
        <w:tabs>
          <w:tab w:val="num" w:pos="960"/>
        </w:tabs>
        <w:spacing w:afterLines="50" w:after="180"/>
        <w:ind w:left="200" w:hanging="200"/>
        <w:jc w:val="both"/>
        <w:rPr>
          <w:rFonts w:ascii="Arial Unicode MS" w:hAnsi="Arial Unicode MS"/>
          <w:b/>
          <w:bCs/>
          <w:color w:val="993300"/>
          <w:szCs w:val="20"/>
        </w:rPr>
      </w:pPr>
      <w:r w:rsidRPr="00B2293B">
        <w:rPr>
          <w:rFonts w:ascii="Arial Unicode MS" w:hAnsi="Arial Unicode MS"/>
          <w:b/>
          <w:bCs/>
          <w:color w:val="990000"/>
          <w:szCs w:val="20"/>
        </w:rPr>
        <w:t>【</w:t>
      </w:r>
      <w:r w:rsidR="00F30D9A" w:rsidRPr="00AF32D4">
        <w:rPr>
          <w:rFonts w:ascii="Arial Unicode MS" w:eastAsiaTheme="minorEastAsia" w:hAnsi="Arial Unicode MS" w:hint="eastAsia"/>
          <w:b/>
          <w:bCs/>
          <w:color w:val="990000"/>
          <w:szCs w:val="20"/>
        </w:rPr>
        <w:t>法律法規</w:t>
      </w:r>
      <w:r w:rsidRPr="00B2293B">
        <w:rPr>
          <w:rFonts w:ascii="Arial Unicode MS" w:hAnsi="Arial Unicode MS"/>
          <w:b/>
          <w:bCs/>
          <w:color w:val="990000"/>
          <w:szCs w:val="20"/>
        </w:rPr>
        <w:t>】</w:t>
      </w:r>
      <w:r w:rsidR="00D03716" w:rsidRPr="00D03716">
        <w:rPr>
          <w:rFonts w:ascii="標楷體" w:eastAsia="標楷體" w:hAnsi="標楷體" w:hint="eastAsia"/>
          <w:bCs/>
          <w:color w:val="000000"/>
          <w:kern w:val="0"/>
          <w:sz w:val="32"/>
          <w:szCs w:val="22"/>
          <w14:shadow w14:blurRad="50800" w14:dist="38100" w14:dir="2700000" w14:sx="100000" w14:sy="100000" w14:kx="0" w14:ky="0" w14:algn="tl">
            <w14:srgbClr w14:val="000000">
              <w14:alpha w14:val="60000"/>
            </w14:srgbClr>
          </w14:shadow>
        </w:rPr>
        <w:t>非藥用類麻醉藥品和精神藥品列管辦法</w:t>
      </w:r>
    </w:p>
    <w:p w14:paraId="6716D250" w14:textId="77777777" w:rsidR="00201E46" w:rsidRPr="00E9022C" w:rsidRDefault="00201E46" w:rsidP="00201E46">
      <w:pPr>
        <w:tabs>
          <w:tab w:val="num" w:pos="960"/>
        </w:tabs>
        <w:ind w:left="200" w:hangingChars="100" w:hanging="200"/>
        <w:rPr>
          <w:rFonts w:ascii="Arial Unicode MS" w:hAnsi="Arial Unicode MS"/>
          <w:color w:val="333333"/>
        </w:rPr>
      </w:pPr>
      <w:r w:rsidRPr="00B2293B">
        <w:rPr>
          <w:rFonts w:ascii="Arial Unicode MS" w:hAnsi="Arial Unicode MS"/>
          <w:b/>
          <w:color w:val="990000"/>
        </w:rPr>
        <w:t>【</w:t>
      </w:r>
      <w:r w:rsidRPr="00B2293B">
        <w:rPr>
          <w:rFonts w:ascii="Arial Unicode MS" w:hAnsi="Arial Unicode MS" w:hint="eastAsia"/>
          <w:b/>
          <w:color w:val="990000"/>
        </w:rPr>
        <w:t>發布單位</w:t>
      </w:r>
      <w:r w:rsidRPr="00B2293B">
        <w:rPr>
          <w:rFonts w:ascii="Arial Unicode MS" w:hAnsi="Arial Unicode MS"/>
          <w:b/>
          <w:color w:val="990000"/>
        </w:rPr>
        <w:t>】</w:t>
      </w:r>
      <w:r w:rsidR="008A13D2" w:rsidRPr="008A13D2">
        <w:rPr>
          <w:rFonts w:ascii="Arial Unicode MS" w:hAnsi="Arial Unicode MS" w:hint="eastAsia"/>
        </w:rPr>
        <w:t>公安部，國家衛生和計劃生育委員會，國家食品藥品監督管理總局，</w:t>
      </w:r>
      <w:r w:rsidR="00A0239B" w:rsidRPr="00A0239B">
        <w:rPr>
          <w:rFonts w:ascii="Arial Unicode MS" w:hAnsi="Arial Unicode MS" w:hint="eastAsia"/>
        </w:rPr>
        <w:t>禁毒委員會辦公室</w:t>
      </w:r>
    </w:p>
    <w:p w14:paraId="718F2DC9" w14:textId="77777777" w:rsidR="00201E46" w:rsidRPr="00177DCB" w:rsidRDefault="00201E46">
      <w:pPr>
        <w:tabs>
          <w:tab w:val="num" w:pos="960"/>
        </w:tabs>
        <w:rPr>
          <w:rFonts w:ascii="Arial Unicode MS" w:hAnsi="Arial Unicode MS"/>
          <w:bCs/>
          <w:color w:val="333333"/>
          <w:szCs w:val="20"/>
        </w:rPr>
      </w:pPr>
      <w:r w:rsidRPr="00B2293B">
        <w:rPr>
          <w:rFonts w:ascii="Arial Unicode MS" w:hAnsi="Arial Unicode MS"/>
          <w:b/>
          <w:color w:val="990000"/>
          <w:szCs w:val="20"/>
        </w:rPr>
        <w:t>【</w:t>
      </w:r>
      <w:r w:rsidRPr="00B2293B">
        <w:rPr>
          <w:rFonts w:ascii="Arial Unicode MS" w:hAnsi="Arial Unicode MS" w:hint="eastAsia"/>
          <w:b/>
          <w:color w:val="990000"/>
          <w:szCs w:val="20"/>
        </w:rPr>
        <w:t>發布日期</w:t>
      </w:r>
      <w:r w:rsidRPr="00B2293B">
        <w:rPr>
          <w:rFonts w:ascii="Arial Unicode MS" w:hAnsi="Arial Unicode MS"/>
          <w:b/>
          <w:color w:val="990000"/>
          <w:szCs w:val="20"/>
        </w:rPr>
        <w:t>】</w:t>
      </w:r>
      <w:r w:rsidR="008A13D2" w:rsidRPr="008A13D2">
        <w:rPr>
          <w:rFonts w:ascii="Arial Unicode MS" w:hAnsi="Arial Unicode MS" w:hint="eastAsia"/>
        </w:rPr>
        <w:t>2015</w:t>
      </w:r>
      <w:r w:rsidR="001D7420" w:rsidRPr="00765E69">
        <w:rPr>
          <w:rFonts w:ascii="Arial Unicode MS" w:hAnsi="Arial Unicode MS" w:hint="eastAsia"/>
          <w:szCs w:val="20"/>
        </w:rPr>
        <w:t>年</w:t>
      </w:r>
      <w:r w:rsidR="008A13D2" w:rsidRPr="008A13D2">
        <w:rPr>
          <w:rFonts w:ascii="Arial Unicode MS" w:hAnsi="Arial Unicode MS" w:hint="eastAsia"/>
        </w:rPr>
        <w:t>9</w:t>
      </w:r>
      <w:r w:rsidR="001D7420" w:rsidRPr="00765E69">
        <w:rPr>
          <w:rFonts w:ascii="Arial Unicode MS" w:hAnsi="Arial Unicode MS" w:hint="eastAsia"/>
          <w:szCs w:val="20"/>
        </w:rPr>
        <w:t>月</w:t>
      </w:r>
      <w:r w:rsidR="008A13D2" w:rsidRPr="008A13D2">
        <w:rPr>
          <w:rFonts w:ascii="Arial Unicode MS" w:hAnsi="Arial Unicode MS" w:hint="eastAsia"/>
        </w:rPr>
        <w:t>24</w:t>
      </w:r>
      <w:r w:rsidR="001D7420" w:rsidRPr="00E049ED">
        <w:rPr>
          <w:rFonts w:ascii="Arial Unicode MS" w:hAnsi="Arial Unicode MS"/>
          <w:sz w:val="18"/>
        </w:rPr>
        <w:t>日</w:t>
      </w:r>
    </w:p>
    <w:p w14:paraId="1CDC7959" w14:textId="77777777" w:rsidR="00201E46" w:rsidRDefault="00201E46">
      <w:pPr>
        <w:ind w:left="1401" w:hangingChars="700" w:hanging="1401"/>
        <w:rPr>
          <w:rFonts w:ascii="Arial Unicode MS" w:hAnsi="Arial Unicode MS"/>
        </w:rPr>
      </w:pPr>
      <w:r w:rsidRPr="00B2293B">
        <w:rPr>
          <w:rFonts w:ascii="Arial Unicode MS" w:hAnsi="Arial Unicode MS"/>
          <w:b/>
          <w:color w:val="990000"/>
        </w:rPr>
        <w:t>【</w:t>
      </w:r>
      <w:r w:rsidRPr="00B2293B">
        <w:rPr>
          <w:rFonts w:ascii="Arial Unicode MS" w:hAnsi="Arial Unicode MS" w:hint="eastAsia"/>
          <w:b/>
          <w:color w:val="990000"/>
        </w:rPr>
        <w:t>實施日期</w:t>
      </w:r>
      <w:r w:rsidRPr="00B2293B">
        <w:rPr>
          <w:rFonts w:ascii="Arial Unicode MS" w:hAnsi="Arial Unicode MS"/>
          <w:b/>
          <w:color w:val="990000"/>
        </w:rPr>
        <w:t>】</w:t>
      </w:r>
      <w:r w:rsidR="008A13D2" w:rsidRPr="008A13D2">
        <w:rPr>
          <w:rFonts w:ascii="Arial Unicode MS" w:hAnsi="Arial Unicode MS" w:hint="eastAsia"/>
        </w:rPr>
        <w:t>2015</w:t>
      </w:r>
      <w:r w:rsidR="001D7420" w:rsidRPr="00765E69">
        <w:rPr>
          <w:rFonts w:ascii="Arial Unicode MS" w:hAnsi="Arial Unicode MS" w:hint="eastAsia"/>
          <w:szCs w:val="20"/>
        </w:rPr>
        <w:t>年</w:t>
      </w:r>
      <w:r w:rsidR="008A13D2" w:rsidRPr="008A13D2">
        <w:rPr>
          <w:rFonts w:ascii="Arial Unicode MS" w:hAnsi="Arial Unicode MS" w:hint="eastAsia"/>
        </w:rPr>
        <w:t>10</w:t>
      </w:r>
      <w:r w:rsidR="001D7420" w:rsidRPr="00765E69">
        <w:rPr>
          <w:rFonts w:ascii="Arial Unicode MS" w:hAnsi="Arial Unicode MS" w:hint="eastAsia"/>
          <w:szCs w:val="20"/>
        </w:rPr>
        <w:t>月</w:t>
      </w:r>
      <w:r w:rsidR="008A13D2" w:rsidRPr="008A13D2">
        <w:rPr>
          <w:rFonts w:ascii="Arial Unicode MS" w:hAnsi="Arial Unicode MS" w:hint="eastAsia"/>
        </w:rPr>
        <w:t>1</w:t>
      </w:r>
      <w:r w:rsidR="001D7420" w:rsidRPr="00E049ED">
        <w:rPr>
          <w:rFonts w:ascii="Arial Unicode MS" w:hAnsi="Arial Unicode MS"/>
          <w:sz w:val="18"/>
        </w:rPr>
        <w:t>日</w:t>
      </w:r>
    </w:p>
    <w:p w14:paraId="51281297" w14:textId="77777777" w:rsidR="00177DCB" w:rsidRPr="00E9022C" w:rsidRDefault="00177DCB" w:rsidP="00177DCB">
      <w:pPr>
        <w:ind w:left="1400" w:hangingChars="700" w:hanging="1400"/>
        <w:rPr>
          <w:rFonts w:ascii="Arial Unicode MS" w:hAnsi="Arial Unicode MS"/>
          <w:color w:val="333333"/>
        </w:rPr>
      </w:pPr>
    </w:p>
    <w:p w14:paraId="095DFABC" w14:textId="77777777" w:rsidR="001974AB" w:rsidRPr="00334965" w:rsidRDefault="00201E46" w:rsidP="008A13D2">
      <w:pPr>
        <w:pStyle w:val="1"/>
        <w:spacing w:beforeLines="30" w:before="108" w:beforeAutospacing="0" w:afterLines="30" w:after="108" w:afterAutospacing="0"/>
        <w:rPr>
          <w:color w:val="990000"/>
        </w:rPr>
      </w:pPr>
      <w:r w:rsidRPr="00334965">
        <w:rPr>
          <w:color w:val="990000"/>
        </w:rPr>
        <w:t>【</w:t>
      </w:r>
      <w:r w:rsidRPr="00334965">
        <w:rPr>
          <w:rFonts w:hint="eastAsia"/>
          <w:color w:val="990000"/>
        </w:rPr>
        <w:t>法規沿革</w:t>
      </w:r>
      <w:r w:rsidRPr="00334965">
        <w:rPr>
          <w:color w:val="990000"/>
        </w:rPr>
        <w:t>】</w:t>
      </w:r>
    </w:p>
    <w:p w14:paraId="7568A389" w14:textId="77777777" w:rsidR="00201E46" w:rsidRPr="003F1567" w:rsidRDefault="003F1567" w:rsidP="005D7873">
      <w:pPr>
        <w:ind w:leftChars="59" w:left="118"/>
        <w:rPr>
          <w:rFonts w:ascii="Arial Unicode MS" w:hAnsi="Arial Unicode MS"/>
          <w:bCs/>
          <w:color w:val="000000"/>
          <w:sz w:val="18"/>
        </w:rPr>
      </w:pPr>
      <w:r w:rsidRPr="003F1567">
        <w:rPr>
          <w:rFonts w:ascii="Arial Unicode MS" w:hAnsi="Arial Unicode MS" w:hint="eastAsia"/>
          <w:bCs/>
          <w:color w:val="000000"/>
          <w:sz w:val="18"/>
        </w:rPr>
        <w:t>‧</w:t>
      </w:r>
      <w:r w:rsidR="008A13D2" w:rsidRPr="008A13D2">
        <w:rPr>
          <w:rFonts w:ascii="Arial Unicode MS" w:hAnsi="Arial Unicode MS" w:hint="eastAsia"/>
        </w:rPr>
        <w:t>公通字</w:t>
      </w:r>
      <w:r w:rsidR="008A13D2" w:rsidRPr="008A13D2">
        <w:rPr>
          <w:rFonts w:ascii="Arial Unicode MS" w:hAnsi="Arial Unicode MS" w:hint="eastAsia"/>
        </w:rPr>
        <w:t>[2015]27</w:t>
      </w:r>
      <w:r w:rsidR="008A13D2" w:rsidRPr="008A13D2">
        <w:rPr>
          <w:rFonts w:ascii="Arial Unicode MS" w:hAnsi="Arial Unicode MS" w:hint="eastAsia"/>
        </w:rPr>
        <w:t>號</w:t>
      </w:r>
    </w:p>
    <w:p w14:paraId="4A56A32C" w14:textId="77777777" w:rsidR="003F1567" w:rsidRPr="003F1567" w:rsidRDefault="003F1567" w:rsidP="00CD5B99"/>
    <w:p w14:paraId="78BEB81B" w14:textId="77777777" w:rsidR="00201E46" w:rsidRPr="00334965" w:rsidRDefault="00201E46" w:rsidP="00334965">
      <w:pPr>
        <w:pStyle w:val="1"/>
        <w:rPr>
          <w:color w:val="990000"/>
          <w:szCs w:val="27"/>
          <w:lang w:val="zh-TW"/>
        </w:rPr>
      </w:pPr>
      <w:r w:rsidRPr="00334965">
        <w:rPr>
          <w:color w:val="990000"/>
        </w:rPr>
        <w:t>【</w:t>
      </w:r>
      <w:r w:rsidRPr="00334965">
        <w:rPr>
          <w:rFonts w:hint="eastAsia"/>
          <w:color w:val="990000"/>
        </w:rPr>
        <w:t>法規內容</w:t>
      </w:r>
      <w:r w:rsidRPr="00334965">
        <w:rPr>
          <w:color w:val="990000"/>
        </w:rPr>
        <w:t>】</w:t>
      </w:r>
    </w:p>
    <w:p w14:paraId="47A9DDF1" w14:textId="77777777" w:rsidR="00D03716" w:rsidRDefault="00201E46" w:rsidP="008A13D2">
      <w:pPr>
        <w:pStyle w:val="2"/>
      </w:pPr>
      <w:bookmarkStart w:id="1" w:name="_第一章__總"/>
      <w:bookmarkStart w:id="2" w:name="a1"/>
      <w:bookmarkEnd w:id="1"/>
      <w:bookmarkEnd w:id="2"/>
      <w:r w:rsidRPr="005D7873">
        <w:rPr>
          <w:rFonts w:hint="eastAsia"/>
        </w:rPr>
        <w:t>第</w:t>
      </w:r>
      <w:r w:rsidR="005D7873" w:rsidRPr="005D7873">
        <w:rPr>
          <w:rFonts w:hint="eastAsia"/>
        </w:rPr>
        <w:t>1</w:t>
      </w:r>
      <w:r w:rsidR="00D03716">
        <w:rPr>
          <w:rFonts w:hint="eastAsia"/>
        </w:rPr>
        <w:t>條</w:t>
      </w:r>
    </w:p>
    <w:p w14:paraId="5AB44363" w14:textId="77777777" w:rsidR="00D03716" w:rsidRDefault="00D03716" w:rsidP="008A13D2">
      <w:pPr>
        <w:ind w:left="142"/>
      </w:pPr>
      <w:r>
        <w:t xml:space="preserve">　　為加強對非藥用類麻醉藥品和精神藥品的管理，防止非法生產、經營、運輸、使用和進出口，根據《</w:t>
      </w:r>
      <w:hyperlink r:id="rId15" w:history="1">
        <w:r w:rsidRPr="00B72992">
          <w:rPr>
            <w:rStyle w:val="a3"/>
            <w:rFonts w:ascii="Times New Roman" w:hAnsi="Times New Roman"/>
          </w:rPr>
          <w:t>中華人民共和國禁毒法</w:t>
        </w:r>
      </w:hyperlink>
      <w:r>
        <w:t>》和《</w:t>
      </w:r>
      <w:hyperlink r:id="rId16" w:history="1">
        <w:r w:rsidRPr="00B72992">
          <w:rPr>
            <w:rStyle w:val="a3"/>
            <w:rFonts w:ascii="Times New Roman" w:hAnsi="Times New Roman"/>
          </w:rPr>
          <w:t>麻醉藥品和精神藥品管理條例</w:t>
        </w:r>
      </w:hyperlink>
      <w:r>
        <w:t>》等法律、法規的規定，制定本辦法。</w:t>
      </w:r>
    </w:p>
    <w:p w14:paraId="508A08D4" w14:textId="77777777" w:rsidR="00D03716" w:rsidRDefault="00D03716" w:rsidP="008A13D2">
      <w:pPr>
        <w:pStyle w:val="2"/>
      </w:pPr>
      <w:bookmarkStart w:id="3" w:name="a2"/>
      <w:bookmarkEnd w:id="3"/>
      <w:r>
        <w:t>第</w:t>
      </w:r>
      <w:r>
        <w:t>2</w:t>
      </w:r>
      <w:r>
        <w:t>條</w:t>
      </w:r>
    </w:p>
    <w:p w14:paraId="5A817B04" w14:textId="77777777" w:rsidR="00D03716" w:rsidRDefault="00D03716" w:rsidP="008A13D2">
      <w:pPr>
        <w:ind w:left="142"/>
      </w:pPr>
      <w:r>
        <w:t xml:space="preserve">　　本辦法所稱的非藥用類麻醉藥品和精神藥品，是指未作為藥品生產和使用，具有成癮性或者成癮潛力且易被濫用的物質。</w:t>
      </w:r>
    </w:p>
    <w:p w14:paraId="345925AA" w14:textId="77777777" w:rsidR="00D03716" w:rsidRDefault="00D03716" w:rsidP="008A13D2">
      <w:pPr>
        <w:pStyle w:val="2"/>
      </w:pPr>
      <w:bookmarkStart w:id="4" w:name="a3"/>
      <w:bookmarkEnd w:id="4"/>
      <w:r>
        <w:t>第</w:t>
      </w:r>
      <w:r>
        <w:t>3</w:t>
      </w:r>
      <w:r>
        <w:t>條</w:t>
      </w:r>
    </w:p>
    <w:p w14:paraId="5B06C319" w14:textId="77777777" w:rsidR="00D03716" w:rsidRDefault="00D03716" w:rsidP="008A13D2">
      <w:pPr>
        <w:ind w:left="142"/>
      </w:pPr>
      <w:r>
        <w:t xml:space="preserve">　　麻醉藥品和精神藥品按照藥用類和非藥用類分類列管。除麻醉藥品和精神藥品管理品種目錄已有列管品種外，新增非藥用類麻醉藥品和精神藥品管制品種由本辦法附表列示。非藥用類麻醉藥品和精神藥品管制品種目錄的調整由國務院公安部門會同國務院食品藥品監督管理部門和國務院衛生計生行政部門負責。</w:t>
      </w:r>
    </w:p>
    <w:p w14:paraId="2D7775D8" w14:textId="77777777" w:rsidR="00D03716" w:rsidRPr="008A13D2" w:rsidRDefault="00D03716" w:rsidP="008A13D2">
      <w:pPr>
        <w:ind w:left="142"/>
        <w:rPr>
          <w:color w:val="17365D"/>
        </w:rPr>
      </w:pPr>
      <w:r w:rsidRPr="008A13D2">
        <w:rPr>
          <w:color w:val="17365D"/>
        </w:rPr>
        <w:t xml:space="preserve">　　非藥用類麻醉藥品和精神藥品發現醫藥用途，調整列入藥品目錄的，不再列入非藥用類麻醉藥品和精神藥品管制品種目錄。</w:t>
      </w:r>
    </w:p>
    <w:p w14:paraId="5AF09830" w14:textId="77777777" w:rsidR="00D03716" w:rsidRDefault="00D03716" w:rsidP="008A13D2">
      <w:pPr>
        <w:pStyle w:val="2"/>
      </w:pPr>
      <w:bookmarkStart w:id="5" w:name="a4"/>
      <w:bookmarkEnd w:id="5"/>
      <w:r>
        <w:t>第</w:t>
      </w:r>
      <w:r>
        <w:t>4</w:t>
      </w:r>
      <w:r>
        <w:t>條</w:t>
      </w:r>
    </w:p>
    <w:p w14:paraId="5B0B5688" w14:textId="77777777" w:rsidR="00D03716" w:rsidRDefault="00D03716" w:rsidP="008A13D2">
      <w:pPr>
        <w:ind w:left="142"/>
      </w:pPr>
      <w:r>
        <w:t xml:space="preserve">　　對列管的非藥用類麻醉藥品和精神藥品，禁止任何單位和個人生產、買賣、運輸、使用、儲存和進出口。因科研、實驗需要使用非藥用類麻醉藥品和精神藥品，在藥品、醫療器械生產、檢測中需要使用非藥用類麻醉藥品和精神藥品標準品、對照品，以及藥品生產過程中非藥用類麻醉藥品和精神藥品中間體的管理，按照有關規定執行。</w:t>
      </w:r>
    </w:p>
    <w:p w14:paraId="5D038B3A" w14:textId="77777777" w:rsidR="00D03716" w:rsidRPr="008A13D2" w:rsidRDefault="00D03716" w:rsidP="008A13D2">
      <w:pPr>
        <w:ind w:left="142"/>
        <w:rPr>
          <w:color w:val="17365D"/>
        </w:rPr>
      </w:pPr>
      <w:r w:rsidRPr="008A13D2">
        <w:rPr>
          <w:color w:val="17365D"/>
        </w:rPr>
        <w:t xml:space="preserve">　　各級公安機關和有關部門依法加強對非藥用類麻醉藥品和精神藥品違法犯罪行為的打擊處理。</w:t>
      </w:r>
    </w:p>
    <w:p w14:paraId="6C011885" w14:textId="77777777" w:rsidR="00D03716" w:rsidRDefault="00D03716" w:rsidP="008A13D2">
      <w:pPr>
        <w:pStyle w:val="2"/>
      </w:pPr>
      <w:bookmarkStart w:id="6" w:name="a5"/>
      <w:bookmarkEnd w:id="6"/>
      <w:r>
        <w:t>第</w:t>
      </w:r>
      <w:r>
        <w:t>5</w:t>
      </w:r>
      <w:r>
        <w:t>條</w:t>
      </w:r>
    </w:p>
    <w:p w14:paraId="0116881A" w14:textId="77777777" w:rsidR="00D03716" w:rsidRDefault="00D03716" w:rsidP="008A13D2">
      <w:pPr>
        <w:ind w:left="142"/>
      </w:pPr>
      <w:r>
        <w:t xml:space="preserve">　　各地禁毒委員會辦公室（以下簡稱禁毒辦）應當組織公安機關和有關部門加強對非藥用類麻醉藥品和精神藥</w:t>
      </w:r>
      <w:r>
        <w:lastRenderedPageBreak/>
        <w:t>品的監測，並將監測情況及時上報國家禁毒辦。國家禁毒辦經匯總、分析後，應當及時發佈預警資訊。對國家禁毒辦發佈預警的未列管非藥用類麻醉藥品和精神藥品，各地禁毒辦應當進行重點監測。</w:t>
      </w:r>
    </w:p>
    <w:p w14:paraId="58700291" w14:textId="77777777" w:rsidR="00D03716" w:rsidRDefault="00D03716" w:rsidP="008A13D2">
      <w:pPr>
        <w:pStyle w:val="2"/>
      </w:pPr>
      <w:bookmarkStart w:id="7" w:name="a6"/>
      <w:bookmarkEnd w:id="7"/>
      <w:r>
        <w:t>第</w:t>
      </w:r>
      <w:r>
        <w:t>6</w:t>
      </w:r>
      <w:r>
        <w:t>條</w:t>
      </w:r>
    </w:p>
    <w:p w14:paraId="5C1F6C90" w14:textId="77777777" w:rsidR="00D03716" w:rsidRDefault="00D03716" w:rsidP="008A13D2">
      <w:pPr>
        <w:ind w:left="142"/>
      </w:pPr>
      <w:r>
        <w:t xml:space="preserve">　　國家禁毒辦認為需要對特定非藥用類麻醉藥品和精神藥品進行列管的，應當交由非藥用類麻醉藥品和精神藥品專家委員會（以下簡稱專家委員會）進行風險評估和列管論證。</w:t>
      </w:r>
    </w:p>
    <w:p w14:paraId="3C94A73B" w14:textId="77777777" w:rsidR="00D03716" w:rsidRDefault="00D03716" w:rsidP="008A13D2">
      <w:pPr>
        <w:pStyle w:val="2"/>
      </w:pPr>
      <w:bookmarkStart w:id="8" w:name="a7"/>
      <w:bookmarkEnd w:id="8"/>
      <w:r>
        <w:t>第</w:t>
      </w:r>
      <w:r>
        <w:t>7</w:t>
      </w:r>
      <w:r>
        <w:t>條</w:t>
      </w:r>
    </w:p>
    <w:p w14:paraId="2DE050E3" w14:textId="77777777" w:rsidR="00D03716" w:rsidRDefault="00D03716" w:rsidP="008A13D2">
      <w:pPr>
        <w:ind w:left="142"/>
      </w:pPr>
      <w:r>
        <w:t xml:space="preserve">　　專家委員會由國務院公安部門、食品藥品監督管理部門、衛生計生行政部門、工業和資訊化管理部門、海關等部門的專業人員以及醫學、藥學、法學、司法鑒定、化工等領域的專家學者組成。</w:t>
      </w:r>
    </w:p>
    <w:p w14:paraId="118BCEC3" w14:textId="77777777" w:rsidR="00D03716" w:rsidRPr="008A13D2" w:rsidRDefault="00D03716" w:rsidP="008A13D2">
      <w:pPr>
        <w:ind w:left="142"/>
        <w:rPr>
          <w:color w:val="17365D"/>
        </w:rPr>
      </w:pPr>
      <w:r w:rsidRPr="008A13D2">
        <w:rPr>
          <w:color w:val="17365D"/>
        </w:rPr>
        <w:t xml:space="preserve">　　專家委員會應當對擬列管的非藥用類麻醉藥品和精神藥品進行下列風險評估和列管論證，並提出是否予以列管的建議：</w:t>
      </w:r>
    </w:p>
    <w:p w14:paraId="3B87CE74" w14:textId="77777777" w:rsidR="00D03716" w:rsidRPr="008A13D2" w:rsidRDefault="00D03716" w:rsidP="008A13D2">
      <w:pPr>
        <w:ind w:left="142"/>
        <w:rPr>
          <w:color w:val="17365D"/>
        </w:rPr>
      </w:pPr>
      <w:r w:rsidRPr="008A13D2">
        <w:rPr>
          <w:color w:val="17365D"/>
        </w:rPr>
        <w:t xml:space="preserve">　　（一）成癮性或者成癮潛力</w:t>
      </w:r>
      <w:r w:rsidR="00C407D5">
        <w:rPr>
          <w:color w:val="17365D"/>
        </w:rPr>
        <w:t>；</w:t>
      </w:r>
    </w:p>
    <w:p w14:paraId="64081A25" w14:textId="77777777" w:rsidR="00D03716" w:rsidRPr="008A13D2" w:rsidRDefault="00D03716" w:rsidP="008A13D2">
      <w:pPr>
        <w:ind w:left="142"/>
        <w:rPr>
          <w:color w:val="17365D"/>
        </w:rPr>
      </w:pPr>
      <w:r w:rsidRPr="008A13D2">
        <w:rPr>
          <w:color w:val="17365D"/>
        </w:rPr>
        <w:t xml:space="preserve">　　（二）對人身心健康的危害性</w:t>
      </w:r>
      <w:r w:rsidR="00C407D5">
        <w:rPr>
          <w:color w:val="17365D"/>
        </w:rPr>
        <w:t>；</w:t>
      </w:r>
    </w:p>
    <w:p w14:paraId="25DFEDC3" w14:textId="77777777" w:rsidR="00D03716" w:rsidRPr="008A13D2" w:rsidRDefault="00D03716" w:rsidP="008A13D2">
      <w:pPr>
        <w:ind w:left="142"/>
        <w:rPr>
          <w:color w:val="17365D"/>
        </w:rPr>
      </w:pPr>
      <w:r w:rsidRPr="008A13D2">
        <w:rPr>
          <w:color w:val="17365D"/>
        </w:rPr>
        <w:t xml:space="preserve">　　（三）非法製造、販運或者走私活動情況</w:t>
      </w:r>
      <w:r w:rsidR="00C407D5">
        <w:rPr>
          <w:color w:val="17365D"/>
        </w:rPr>
        <w:t>；</w:t>
      </w:r>
    </w:p>
    <w:p w14:paraId="1AB11008" w14:textId="77777777" w:rsidR="00D03716" w:rsidRPr="008A13D2" w:rsidRDefault="00D03716" w:rsidP="008A13D2">
      <w:pPr>
        <w:ind w:left="142"/>
        <w:rPr>
          <w:color w:val="17365D"/>
        </w:rPr>
      </w:pPr>
      <w:r w:rsidRPr="008A13D2">
        <w:rPr>
          <w:color w:val="17365D"/>
        </w:rPr>
        <w:t xml:space="preserve">　　（四）濫用或者擴散情況</w:t>
      </w:r>
      <w:r w:rsidR="00C407D5">
        <w:rPr>
          <w:color w:val="17365D"/>
        </w:rPr>
        <w:t>；</w:t>
      </w:r>
    </w:p>
    <w:p w14:paraId="15C0D39B" w14:textId="77777777" w:rsidR="00D03716" w:rsidRPr="008A13D2" w:rsidRDefault="00D03716" w:rsidP="008A13D2">
      <w:pPr>
        <w:ind w:left="142"/>
        <w:rPr>
          <w:color w:val="17365D"/>
        </w:rPr>
      </w:pPr>
      <w:r w:rsidRPr="008A13D2">
        <w:rPr>
          <w:color w:val="17365D"/>
        </w:rPr>
        <w:t xml:space="preserve">　　（五）造成國內、國際危害或者其他社會危害情況。</w:t>
      </w:r>
    </w:p>
    <w:p w14:paraId="2182ACD7" w14:textId="77777777" w:rsidR="00D03716" w:rsidRDefault="00D03716" w:rsidP="008A13D2">
      <w:pPr>
        <w:ind w:left="142"/>
      </w:pPr>
      <w:r>
        <w:t xml:space="preserve">　　專家委員會啟動對擬列管的非藥用類麻醉藥品和精神藥品的風險評估和列管論證工作後，應當在</w:t>
      </w:r>
      <w:r>
        <w:t>3</w:t>
      </w:r>
      <w:r>
        <w:t>個月內完成。</w:t>
      </w:r>
    </w:p>
    <w:p w14:paraId="2D2D6B2E" w14:textId="77777777" w:rsidR="00D03716" w:rsidRDefault="00D03716" w:rsidP="008A13D2">
      <w:pPr>
        <w:pStyle w:val="2"/>
      </w:pPr>
      <w:bookmarkStart w:id="9" w:name="a8"/>
      <w:bookmarkEnd w:id="9"/>
      <w:r>
        <w:t>第</w:t>
      </w:r>
      <w:r>
        <w:t>8</w:t>
      </w:r>
      <w:r>
        <w:t>條</w:t>
      </w:r>
    </w:p>
    <w:p w14:paraId="42758A98" w14:textId="77777777" w:rsidR="00D03716" w:rsidRDefault="00D03716" w:rsidP="008A13D2">
      <w:pPr>
        <w:ind w:left="142"/>
      </w:pPr>
      <w:r>
        <w:t xml:space="preserve">　　對專家委員會評估後提出列管建議的，國家禁毒辦應當建議國務院公安部門會同食品藥品監督管理部門和衛生計生行政部門予以列管。</w:t>
      </w:r>
    </w:p>
    <w:p w14:paraId="3252BC9D" w14:textId="77777777" w:rsidR="00D03716" w:rsidRDefault="00D03716" w:rsidP="008A13D2">
      <w:pPr>
        <w:pStyle w:val="2"/>
      </w:pPr>
      <w:bookmarkStart w:id="10" w:name="a9"/>
      <w:bookmarkEnd w:id="10"/>
      <w:r>
        <w:t>第</w:t>
      </w:r>
      <w:r>
        <w:t>9</w:t>
      </w:r>
      <w:r>
        <w:t>條</w:t>
      </w:r>
    </w:p>
    <w:p w14:paraId="2B1AB33F" w14:textId="77777777" w:rsidR="00D03716" w:rsidRDefault="00D03716" w:rsidP="008A13D2">
      <w:pPr>
        <w:ind w:left="142"/>
      </w:pPr>
      <w:r>
        <w:t xml:space="preserve">　　國務院公安部門會同食品藥品監督管理部門和衛生計生行政部門應當在接到國家禁毒辦列管建議後</w:t>
      </w:r>
      <w:r>
        <w:t>6</w:t>
      </w:r>
      <w:r>
        <w:t>個月內，完成對非藥用類麻醉藥品和精神藥品的列管工作。</w:t>
      </w:r>
    </w:p>
    <w:p w14:paraId="3A5B340E" w14:textId="77777777" w:rsidR="00D03716" w:rsidRPr="008A13D2" w:rsidRDefault="00D03716" w:rsidP="008A13D2">
      <w:pPr>
        <w:ind w:left="142"/>
        <w:rPr>
          <w:color w:val="17365D"/>
        </w:rPr>
      </w:pPr>
      <w:r w:rsidRPr="008A13D2">
        <w:rPr>
          <w:color w:val="17365D"/>
        </w:rPr>
        <w:t xml:space="preserve">　　對於情況緊急、不及時列管不利於遏制危害發展蔓延的，風險評估和列管工作應當加快進程。</w:t>
      </w:r>
    </w:p>
    <w:p w14:paraId="57E8D174" w14:textId="77777777" w:rsidR="00D03716" w:rsidRPr="008A13D2" w:rsidRDefault="00D03716" w:rsidP="008A13D2">
      <w:pPr>
        <w:pStyle w:val="2"/>
      </w:pPr>
      <w:bookmarkStart w:id="11" w:name="a10"/>
      <w:bookmarkEnd w:id="11"/>
      <w:r w:rsidRPr="008A13D2">
        <w:t>第</w:t>
      </w:r>
      <w:r w:rsidRPr="008A13D2">
        <w:t>10</w:t>
      </w:r>
      <w:r w:rsidRPr="008A13D2">
        <w:t>條</w:t>
      </w:r>
    </w:p>
    <w:p w14:paraId="19B83D37" w14:textId="77777777" w:rsidR="00D03716" w:rsidRPr="008A13D2" w:rsidRDefault="00D03716" w:rsidP="008A13D2">
      <w:pPr>
        <w:ind w:leftChars="75" w:left="150"/>
        <w:jc w:val="both"/>
        <w:rPr>
          <w:rFonts w:ascii="Arial Unicode MS" w:hAnsi="Arial Unicode MS"/>
        </w:rPr>
      </w:pPr>
      <w:r w:rsidRPr="008A13D2">
        <w:rPr>
          <w:rFonts w:ascii="Arial Unicode MS" w:hAnsi="Arial Unicode MS"/>
        </w:rPr>
        <w:t xml:space="preserve">　　本辦法自</w:t>
      </w:r>
      <w:r w:rsidRPr="008A13D2">
        <w:rPr>
          <w:rFonts w:ascii="Arial Unicode MS" w:hAnsi="Arial Unicode MS"/>
        </w:rPr>
        <w:t>2015</w:t>
      </w:r>
      <w:r w:rsidRPr="008A13D2">
        <w:rPr>
          <w:rFonts w:ascii="Arial Unicode MS" w:hAnsi="Arial Unicode MS"/>
        </w:rPr>
        <w:t>年</w:t>
      </w:r>
      <w:r w:rsidRPr="008A13D2">
        <w:rPr>
          <w:rFonts w:ascii="Arial Unicode MS" w:hAnsi="Arial Unicode MS"/>
        </w:rPr>
        <w:t>10</w:t>
      </w:r>
      <w:r w:rsidRPr="008A13D2">
        <w:rPr>
          <w:rFonts w:ascii="Arial Unicode MS" w:hAnsi="Arial Unicode MS"/>
        </w:rPr>
        <w:t>月</w:t>
      </w:r>
      <w:r w:rsidRPr="008A13D2">
        <w:rPr>
          <w:rFonts w:ascii="Arial Unicode MS" w:hAnsi="Arial Unicode MS"/>
        </w:rPr>
        <w:t>1</w:t>
      </w:r>
      <w:r w:rsidRPr="008A13D2">
        <w:rPr>
          <w:rFonts w:ascii="Arial Unicode MS" w:hAnsi="Arial Unicode MS"/>
        </w:rPr>
        <w:t>日起施行。</w:t>
      </w:r>
    </w:p>
    <w:p w14:paraId="4C1113F0" w14:textId="77777777" w:rsidR="00B2293B" w:rsidRPr="00E9022C" w:rsidRDefault="00B2293B" w:rsidP="005D7873">
      <w:pPr>
        <w:ind w:leftChars="75" w:left="150"/>
        <w:jc w:val="both"/>
        <w:rPr>
          <w:rFonts w:ascii="Arial Unicode MS" w:hAnsi="Arial Unicode MS"/>
        </w:rPr>
      </w:pPr>
    </w:p>
    <w:p w14:paraId="4636B76D" w14:textId="77777777" w:rsidR="001635EA" w:rsidRPr="00E9022C" w:rsidRDefault="001635EA" w:rsidP="005D7873">
      <w:pPr>
        <w:ind w:leftChars="75" w:left="150"/>
        <w:jc w:val="both"/>
        <w:rPr>
          <w:rFonts w:ascii="Arial Unicode MS" w:hAnsi="Arial Unicode MS"/>
        </w:rPr>
      </w:pPr>
    </w:p>
    <w:p w14:paraId="3C27B740" w14:textId="77777777" w:rsidR="00F93722" w:rsidRPr="002C7B09" w:rsidRDefault="00F93722" w:rsidP="00F93722">
      <w:pPr>
        <w:ind w:leftChars="50" w:left="100"/>
        <w:jc w:val="both"/>
        <w:rPr>
          <w:rFonts w:ascii="Arial Unicode MS" w:hAnsi="Arial Unicode MS"/>
          <w:color w:val="808000"/>
          <w:szCs w:val="20"/>
        </w:rPr>
      </w:pPr>
      <w:r w:rsidRPr="00B93C1D">
        <w:rPr>
          <w:rFonts w:hint="eastAsia"/>
          <w:color w:val="5F5F5F"/>
          <w:sz w:val="18"/>
        </w:rPr>
        <w:t>。。。。。。。。。。。。。。。。。。。。。。。。。。。。。。。。。。。。。。。。。。。。。。。。。。</w:t>
      </w:r>
      <w:hyperlink w:anchor="top" w:history="1">
        <w:r w:rsidRPr="002C7B09">
          <w:rPr>
            <w:rStyle w:val="a3"/>
            <w:rFonts w:ascii="Arial Unicode MS" w:hAnsi="Arial Unicode MS" w:hint="eastAsia"/>
            <w:sz w:val="18"/>
          </w:rPr>
          <w:t>回首頁</w:t>
        </w:r>
      </w:hyperlink>
      <w:r w:rsidRPr="002C7B09">
        <w:rPr>
          <w:rStyle w:val="a3"/>
          <w:rFonts w:ascii="Arial Unicode MS" w:hAnsi="Arial Unicode MS" w:hint="eastAsia"/>
          <w:b/>
          <w:sz w:val="18"/>
          <w:u w:val="none"/>
        </w:rPr>
        <w:t>&gt;&gt;</w:t>
      </w:r>
    </w:p>
    <w:p w14:paraId="5AADE63E" w14:textId="77777777" w:rsidR="001635EA" w:rsidRPr="00F93722" w:rsidRDefault="00F93722" w:rsidP="00F93722">
      <w:pPr>
        <w:ind w:leftChars="71" w:left="142"/>
        <w:jc w:val="both"/>
        <w:rPr>
          <w:rFonts w:ascii="Arial Unicode MS" w:hAnsi="Arial Unicode MS"/>
        </w:rPr>
      </w:pPr>
      <w:r w:rsidRPr="002C7B09">
        <w:rPr>
          <w:rFonts w:ascii="Arial Unicode MS" w:hAnsi="Arial Unicode MS" w:hint="eastAsia"/>
          <w:color w:val="808080"/>
          <w:sz w:val="18"/>
          <w:szCs w:val="18"/>
        </w:rPr>
        <w:t>【編註】本檔法規資料以中華人民共和國國家機關資訊網為依據；本文僅供參考</w:t>
      </w:r>
      <w:r>
        <w:rPr>
          <w:rFonts w:ascii="Arial Unicode MS" w:hAnsi="Arial Unicode MS" w:hint="eastAsia"/>
          <w:color w:val="808080"/>
          <w:sz w:val="18"/>
          <w:szCs w:val="18"/>
        </w:rPr>
        <w:t>，</w:t>
      </w:r>
      <w:r w:rsidRPr="002C7B09">
        <w:rPr>
          <w:rFonts w:ascii="Arial Unicode MS" w:hAnsi="Arial Unicode MS" w:hint="eastAsia"/>
          <w:color w:val="808080"/>
          <w:sz w:val="18"/>
          <w:szCs w:val="18"/>
        </w:rPr>
        <w:t>如需引用</w:t>
      </w:r>
      <w:r>
        <w:rPr>
          <w:rFonts w:ascii="Arial Unicode MS" w:hAnsi="Arial Unicode MS" w:hint="eastAsia"/>
          <w:color w:val="808080"/>
          <w:sz w:val="18"/>
          <w:szCs w:val="18"/>
        </w:rPr>
        <w:t>，</w:t>
      </w:r>
      <w:r w:rsidRPr="002C7B09">
        <w:rPr>
          <w:rFonts w:ascii="Arial Unicode MS" w:hAnsi="Arial Unicode MS" w:hint="eastAsia"/>
          <w:color w:val="808080"/>
          <w:sz w:val="18"/>
          <w:szCs w:val="18"/>
        </w:rPr>
        <w:t>請以正式檔為準。如有發現待更正部份及您所需本站未收編之法規</w:t>
      </w:r>
      <w:r>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17" w:history="1">
        <w:r w:rsidRPr="00233D4E">
          <w:rPr>
            <w:rStyle w:val="a3"/>
            <w:rFonts w:ascii="Arial Unicode MS" w:hAnsi="Arial Unicode MS"/>
            <w:color w:val="5F5F5F"/>
            <w:sz w:val="18"/>
            <w:szCs w:val="20"/>
          </w:rPr>
          <w:t>告知</w:t>
        </w:r>
      </w:hyperlink>
      <w:r>
        <w:rPr>
          <w:rFonts w:ascii="Arial Unicode MS" w:hAnsi="Arial Unicode MS" w:hint="eastAsia"/>
          <w:color w:val="808080"/>
          <w:sz w:val="18"/>
          <w:szCs w:val="20"/>
        </w:rPr>
        <w:t>，</w:t>
      </w:r>
      <w:r w:rsidRPr="004E7FD5">
        <w:rPr>
          <w:rFonts w:ascii="Arial Unicode MS" w:hAnsi="Arial Unicode MS" w:hint="eastAsia"/>
          <w:color w:val="808080"/>
          <w:sz w:val="18"/>
          <w:szCs w:val="20"/>
        </w:rPr>
        <w:t>謝謝！</w:t>
      </w:r>
    </w:p>
    <w:sectPr w:rsidR="001635EA" w:rsidRPr="00F93722">
      <w:footerReference w:type="even" r:id="rId18"/>
      <w:footerReference w:type="default" r:id="rId19"/>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194B2" w14:textId="77777777" w:rsidR="007669FF" w:rsidRDefault="007669FF">
      <w:r>
        <w:separator/>
      </w:r>
    </w:p>
  </w:endnote>
  <w:endnote w:type="continuationSeparator" w:id="0">
    <w:p w14:paraId="32497CA3" w14:textId="77777777" w:rsidR="007669FF" w:rsidRDefault="00766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D4AC6"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02A6EF6" w14:textId="77777777" w:rsidR="00626027" w:rsidRDefault="0062602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F2D0E"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D4C59">
      <w:rPr>
        <w:rStyle w:val="a7"/>
        <w:noProof/>
      </w:rPr>
      <w:t>2</w:t>
    </w:r>
    <w:r>
      <w:rPr>
        <w:rStyle w:val="a7"/>
      </w:rPr>
      <w:fldChar w:fldCharType="end"/>
    </w:r>
  </w:p>
  <w:p w14:paraId="08103DEB" w14:textId="77777777" w:rsidR="00626027" w:rsidRPr="00177DCB" w:rsidRDefault="001635EA" w:rsidP="001635EA">
    <w:pPr>
      <w:pStyle w:val="a6"/>
      <w:ind w:right="360"/>
      <w:jc w:val="right"/>
      <w:rPr>
        <w:rFonts w:ascii="Arial Unicode MS" w:hAnsi="Arial Unicode MS"/>
      </w:rPr>
    </w:pPr>
    <w:r w:rsidRPr="00177DCB">
      <w:rPr>
        <w:rFonts w:ascii="Arial Unicode MS" w:hAnsi="Arial Unicode MS"/>
        <w:sz w:val="18"/>
        <w:szCs w:val="18"/>
      </w:rPr>
      <w:t>&lt;&lt;</w:t>
    </w:r>
    <w:r w:rsidR="00E37F38" w:rsidRPr="00E37F38">
      <w:rPr>
        <w:rFonts w:hint="eastAsia"/>
      </w:rPr>
      <w:t>非藥用類麻醉藥品和精神藥品列管辦法</w:t>
    </w:r>
    <w:r w:rsidRPr="00177DCB">
      <w:rPr>
        <w:rFonts w:ascii="Arial Unicode MS" w:hAnsi="Arial Unicode MS"/>
        <w:sz w:val="18"/>
        <w:szCs w:val="18"/>
      </w:rPr>
      <w:t>&gt;&gt;S-link</w:t>
    </w:r>
    <w:r w:rsidRPr="00177DCB">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9603C" w14:textId="77777777" w:rsidR="007669FF" w:rsidRDefault="007669FF">
      <w:r>
        <w:separator/>
      </w:r>
    </w:p>
  </w:footnote>
  <w:footnote w:type="continuationSeparator" w:id="0">
    <w:p w14:paraId="493FC756" w14:textId="77777777" w:rsidR="007669FF" w:rsidRDefault="00766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15:restartNumberingAfterBreak="0">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1E46"/>
    <w:rsid w:val="0005486F"/>
    <w:rsid w:val="0009697B"/>
    <w:rsid w:val="000D75CE"/>
    <w:rsid w:val="000F1F46"/>
    <w:rsid w:val="001635EA"/>
    <w:rsid w:val="00172209"/>
    <w:rsid w:val="00177DCB"/>
    <w:rsid w:val="001974AB"/>
    <w:rsid w:val="001D7420"/>
    <w:rsid w:val="00201E46"/>
    <w:rsid w:val="0023765D"/>
    <w:rsid w:val="00273668"/>
    <w:rsid w:val="00296040"/>
    <w:rsid w:val="0030009C"/>
    <w:rsid w:val="0031128B"/>
    <w:rsid w:val="00334965"/>
    <w:rsid w:val="003365FD"/>
    <w:rsid w:val="00362C6F"/>
    <w:rsid w:val="003906B2"/>
    <w:rsid w:val="003D1419"/>
    <w:rsid w:val="003F13C2"/>
    <w:rsid w:val="003F1567"/>
    <w:rsid w:val="00434439"/>
    <w:rsid w:val="004528B7"/>
    <w:rsid w:val="004D4C59"/>
    <w:rsid w:val="004F2115"/>
    <w:rsid w:val="00514F72"/>
    <w:rsid w:val="0057446C"/>
    <w:rsid w:val="005B4CC0"/>
    <w:rsid w:val="005D7873"/>
    <w:rsid w:val="00626027"/>
    <w:rsid w:val="006E3A90"/>
    <w:rsid w:val="007669FF"/>
    <w:rsid w:val="00797FAF"/>
    <w:rsid w:val="007B3157"/>
    <w:rsid w:val="007D3CB6"/>
    <w:rsid w:val="00806947"/>
    <w:rsid w:val="0083478A"/>
    <w:rsid w:val="00855953"/>
    <w:rsid w:val="0087702E"/>
    <w:rsid w:val="008829E0"/>
    <w:rsid w:val="008A13D2"/>
    <w:rsid w:val="008F7B9F"/>
    <w:rsid w:val="00911C69"/>
    <w:rsid w:val="009C5D19"/>
    <w:rsid w:val="00A0239B"/>
    <w:rsid w:val="00A101CC"/>
    <w:rsid w:val="00A82253"/>
    <w:rsid w:val="00AB02D1"/>
    <w:rsid w:val="00AC493C"/>
    <w:rsid w:val="00B2293B"/>
    <w:rsid w:val="00B40AF8"/>
    <w:rsid w:val="00B72992"/>
    <w:rsid w:val="00B90155"/>
    <w:rsid w:val="00BA702B"/>
    <w:rsid w:val="00BA7B85"/>
    <w:rsid w:val="00C2437D"/>
    <w:rsid w:val="00C407D5"/>
    <w:rsid w:val="00C7490C"/>
    <w:rsid w:val="00CD5B99"/>
    <w:rsid w:val="00D03716"/>
    <w:rsid w:val="00D44AB2"/>
    <w:rsid w:val="00D54DAF"/>
    <w:rsid w:val="00DC51B7"/>
    <w:rsid w:val="00E37F38"/>
    <w:rsid w:val="00E9022C"/>
    <w:rsid w:val="00EE6475"/>
    <w:rsid w:val="00EF293B"/>
    <w:rsid w:val="00F30D9A"/>
    <w:rsid w:val="00F86C8B"/>
    <w:rsid w:val="00F93722"/>
    <w:rsid w:val="00F969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8D71401"/>
  <w15:docId w15:val="{F692D8AA-84BD-45C9-AE0B-E71DD288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33496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8A13D2"/>
    <w:pPr>
      <w:keepNext/>
      <w:adjustRightInd w:val="0"/>
      <w:snapToGrid w:val="0"/>
      <w:spacing w:before="100" w:after="100"/>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8A13D2"/>
    <w:rPr>
      <w:rFonts w:ascii="Arial Unicode MS" w:hAnsi="Arial Unicode MS" w:cs="Arial Unicode MS"/>
      <w:b/>
      <w:bCs/>
      <w:color w:val="990000"/>
      <w:kern w:val="2"/>
      <w:szCs w:val="48"/>
    </w:rPr>
  </w:style>
  <w:style w:type="paragraph" w:styleId="aa">
    <w:name w:val="Balloon Text"/>
    <w:basedOn w:val="a"/>
    <w:link w:val="ab"/>
    <w:rsid w:val="00D03716"/>
    <w:rPr>
      <w:rFonts w:asciiTheme="majorHAnsi" w:eastAsiaTheme="majorEastAsia" w:hAnsiTheme="majorHAnsi" w:cstheme="majorBidi"/>
      <w:sz w:val="18"/>
      <w:szCs w:val="18"/>
    </w:rPr>
  </w:style>
  <w:style w:type="character" w:customStyle="1" w:styleId="ab">
    <w:name w:val="註解方塊文字 字元"/>
    <w:basedOn w:val="a0"/>
    <w:link w:val="aa"/>
    <w:rsid w:val="00D0371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93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S-link&#22823;&#38520;&#27861;&#35215;&#32034;&#24341;.doc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6law.idv.tw/"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mailto:anita399646@hotmail.com" TargetMode="External"/><Relationship Id="rId2" Type="http://schemas.openxmlformats.org/officeDocument/2006/relationships/styles" Target="styles.xml"/><Relationship Id="rId16" Type="http://schemas.openxmlformats.org/officeDocument/2006/relationships/hyperlink" Target="&#40635;&#37257;&#34277;&#21697;&#21644;&#31934;&#31070;&#34277;&#21697;&#31649;&#29702;&#26781;&#20363;.doc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5" Type="http://schemas.openxmlformats.org/officeDocument/2006/relationships/footnotes" Target="footnotes.xml"/><Relationship Id="rId15" Type="http://schemas.openxmlformats.org/officeDocument/2006/relationships/hyperlink" Target="&#20013;&#33775;&#20154;&#27665;&#20849;&#21644;&#22283;&#31105;&#27602;&#27861;.docx" TargetMode="External"/><Relationship Id="rId10" Type="http://schemas.openxmlformats.org/officeDocument/2006/relationships/hyperlink" Target="http://www.pkulaw.cn/fulltext_form.aspx?Db=chl&amp;Gid=257771"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6law.idv.tw/update.htm" TargetMode="External"/><Relationship Id="rId14" Type="http://schemas.openxmlformats.org/officeDocument/2006/relationships/hyperlink" Target="http://www.6law.idv.tw/6law/law-gb/&#38750;&#34277;&#29992;&#39006;&#40635;&#37257;&#34277;&#21697;&#21644;&#31934;&#31070;&#34277;&#21697;&#21015;&#31649;&#36774;&#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非藥用類麻醉藥品和精神藥品列管辦法</dc:title>
  <dc:creator>S-link 電子六法-黃婉玲</dc:creator>
  <cp:lastModifiedBy>黃婉玲 S-link電子六法</cp:lastModifiedBy>
  <cp:revision>18</cp:revision>
  <dcterms:created xsi:type="dcterms:W3CDTF">2017-05-26T14:11:00Z</dcterms:created>
  <dcterms:modified xsi:type="dcterms:W3CDTF">2021-12-21T04:39:00Z</dcterms:modified>
</cp:coreProperties>
</file>