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B173" w14:textId="52262487" w:rsidR="00C860B9" w:rsidRDefault="00392EA5" w:rsidP="00C860B9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 w:rsidRPr="00392EA5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1AF8B4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5AEF714D" w14:textId="2691B8E3" w:rsidR="00C860B9" w:rsidRDefault="00C860B9" w:rsidP="00C860B9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Start w:id="1" w:name="_GoBack"/>
      <w:bookmarkEnd w:id="0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4D2F11">
        <w:rPr>
          <w:rFonts w:ascii="Arial Unicode MS" w:hAnsi="Arial Unicode MS"/>
          <w:color w:val="7F7F7F"/>
          <w:sz w:val="18"/>
          <w:szCs w:val="20"/>
        </w:rPr>
        <w:t>2019/10/27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2EDA7FCC" w14:textId="182BEA7C" w:rsidR="00506557" w:rsidRPr="00C860B9" w:rsidRDefault="00623FAB" w:rsidP="00C860B9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105C0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105C0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163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5505"/>
        <w:gridCol w:w="3313"/>
      </w:tblGrid>
      <w:tr w:rsidR="00506557" w:rsidRPr="007138F6" w14:paraId="73B65A4E" w14:textId="77777777" w:rsidTr="00937CEC">
        <w:trPr>
          <w:cantSplit/>
          <w:trHeight w:val="750"/>
          <w:tblCellSpacing w:w="0" w:type="dxa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F65935F" w14:textId="40249A9A" w:rsidR="00506557" w:rsidRPr="007138F6" w:rsidRDefault="00105C05" w:rsidP="007138F6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105C05">
              <w:rPr>
                <w:rFonts w:ascii="Arial Unicode MS" w:hAnsi="Arial Unicode MS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6D36A52" w14:textId="77777777" w:rsidR="00506557" w:rsidRPr="00623FAB" w:rsidRDefault="001072C0" w:rsidP="007138F6">
            <w:pPr>
              <w:jc w:val="center"/>
              <w:rPr>
                <w:rFonts w:eastAsia="標楷體"/>
                <w:bCs/>
                <w:shadow/>
                <w:color w:val="993366"/>
                <w:sz w:val="28"/>
                <w:szCs w:val="28"/>
              </w:rPr>
            </w:pPr>
            <w:r w:rsidRPr="00623FAB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623FAB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506557" w:rsidRPr="00623FAB">
              <w:rPr>
                <w:rFonts w:eastAsia="標楷體" w:hint="eastAsia"/>
                <w:shadow/>
                <w:color w:val="993366"/>
                <w:sz w:val="28"/>
                <w:szCs w:val="28"/>
              </w:rPr>
              <w:t>二二八事件處理及補償條例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37A29837" w14:textId="77777777" w:rsidR="00506557" w:rsidRPr="00AE5836" w:rsidRDefault="00506557">
            <w:pPr>
              <w:ind w:leftChars="-6" w:left="-14"/>
              <w:jc w:val="both"/>
              <w:rPr>
                <w:rFonts w:ascii="Arial Unicode MS" w:hAnsi="Arial Unicode MS"/>
                <w:color w:val="993366"/>
                <w:sz w:val="20"/>
              </w:rPr>
            </w:pPr>
            <w:r w:rsidRPr="00AE5836">
              <w:rPr>
                <w:rFonts w:ascii="Arial Unicode MS" w:hAnsi="Arial Unicode MS"/>
                <w:color w:val="993366"/>
                <w:sz w:val="20"/>
              </w:rPr>
              <w:t>【</w:t>
            </w:r>
            <w:r w:rsidR="001072C0" w:rsidRPr="00AE5836">
              <w:rPr>
                <w:rFonts w:ascii="Arial Unicode MS" w:hAnsi="Arial Unicode MS" w:hint="eastAsia"/>
                <w:color w:val="993366"/>
                <w:sz w:val="20"/>
              </w:rPr>
              <w:t>廢止</w:t>
            </w:r>
            <w:r w:rsidRPr="00AE5836">
              <w:rPr>
                <w:rFonts w:ascii="Arial Unicode MS" w:hAnsi="Arial Unicode MS" w:hint="eastAsia"/>
                <w:color w:val="993366"/>
                <w:sz w:val="20"/>
              </w:rPr>
              <w:t>日期</w:t>
            </w:r>
            <w:r w:rsidRPr="00AE5836">
              <w:rPr>
                <w:rFonts w:ascii="Arial Unicode MS" w:hAnsi="Arial Unicode MS"/>
                <w:color w:val="993366"/>
                <w:sz w:val="20"/>
              </w:rPr>
              <w:t>】</w:t>
            </w:r>
            <w:r w:rsidRPr="00AE5836">
              <w:rPr>
                <w:rFonts w:ascii="Arial Unicode MS" w:hAnsi="Arial Unicode MS" w:hint="eastAsia"/>
                <w:color w:val="993366"/>
                <w:sz w:val="20"/>
              </w:rPr>
              <w:t>民國</w:t>
            </w:r>
            <w:r w:rsidRPr="00AE5836">
              <w:rPr>
                <w:rFonts w:ascii="Arial Unicode MS" w:hAnsi="Arial Unicode MS" w:hint="eastAsia"/>
                <w:color w:val="993366"/>
                <w:sz w:val="20"/>
              </w:rPr>
              <w:t>9</w:t>
            </w:r>
            <w:r w:rsidR="001072C0" w:rsidRPr="00AE5836">
              <w:rPr>
                <w:rFonts w:ascii="Arial Unicode MS" w:hAnsi="Arial Unicode MS" w:hint="eastAsia"/>
                <w:color w:val="993366"/>
                <w:sz w:val="20"/>
              </w:rPr>
              <w:t>6</w:t>
            </w:r>
            <w:r w:rsidRPr="00AE5836">
              <w:rPr>
                <w:rFonts w:ascii="Arial Unicode MS" w:hAnsi="Arial Unicode MS"/>
                <w:color w:val="993366"/>
                <w:sz w:val="20"/>
              </w:rPr>
              <w:t>年</w:t>
            </w:r>
            <w:r w:rsidR="001072C0" w:rsidRPr="00AE5836">
              <w:rPr>
                <w:rFonts w:ascii="Arial Unicode MS" w:hAnsi="Arial Unicode MS" w:hint="eastAsia"/>
                <w:color w:val="993366"/>
                <w:sz w:val="20"/>
              </w:rPr>
              <w:t>3</w:t>
            </w:r>
            <w:r w:rsidRPr="00AE5836">
              <w:rPr>
                <w:rFonts w:ascii="Arial Unicode MS" w:hAnsi="Arial Unicode MS"/>
                <w:color w:val="993366"/>
                <w:sz w:val="20"/>
              </w:rPr>
              <w:t>月</w:t>
            </w:r>
            <w:r w:rsidR="001072C0" w:rsidRPr="00AE5836">
              <w:rPr>
                <w:rFonts w:ascii="Arial Unicode MS" w:hAnsi="Arial Unicode MS" w:hint="eastAsia"/>
                <w:color w:val="993366"/>
                <w:sz w:val="20"/>
              </w:rPr>
              <w:t>21</w:t>
            </w:r>
            <w:r w:rsidRPr="00AE5836">
              <w:rPr>
                <w:rFonts w:ascii="Arial Unicode MS" w:hAnsi="Arial Unicode MS"/>
                <w:color w:val="993366"/>
                <w:sz w:val="20"/>
              </w:rPr>
              <w:t>日</w:t>
            </w:r>
          </w:p>
        </w:tc>
      </w:tr>
    </w:tbl>
    <w:p w14:paraId="35B36ADB" w14:textId="2278DE2E" w:rsidR="00990F03" w:rsidRPr="007138F6" w:rsidRDefault="00623FAB" w:rsidP="00623FAB">
      <w:pPr>
        <w:jc w:val="center"/>
        <w:rPr>
          <w:rFonts w:ascii="Arial Unicode MS" w:hAnsi="Arial Unicode MS"/>
          <w:b/>
          <w:bCs/>
          <w:color w:val="800000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105C05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105C05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3F172B9A" w14:textId="77777777" w:rsidR="00506557" w:rsidRPr="00AE5836" w:rsidRDefault="00506557" w:rsidP="00AE5836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E5836">
        <w:rPr>
          <w:color w:val="auto"/>
        </w:rPr>
        <w:t>【</w:t>
      </w:r>
      <w:r w:rsidRPr="00AE5836">
        <w:rPr>
          <w:rFonts w:hint="eastAsia"/>
          <w:color w:val="auto"/>
        </w:rPr>
        <w:t>法規沿革</w:t>
      </w:r>
      <w:r w:rsidRPr="00AE5836">
        <w:rPr>
          <w:color w:val="auto"/>
        </w:rPr>
        <w:t>】</w:t>
      </w:r>
    </w:p>
    <w:p w14:paraId="76F076D4" w14:textId="77777777" w:rsidR="00506557" w:rsidRP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1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中華民國八十四年四月七日總統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84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華總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一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義字第</w:t>
      </w:r>
      <w:r w:rsidRPr="00AE5836">
        <w:rPr>
          <w:rFonts w:ascii="Arial Unicode MS" w:hAnsi="Arial Unicode MS"/>
          <w:color w:val="666699"/>
          <w:sz w:val="18"/>
        </w:rPr>
        <w:t>1986</w:t>
      </w:r>
      <w:r w:rsidRPr="00AE5836">
        <w:rPr>
          <w:rFonts w:ascii="Arial Unicode MS" w:hAnsi="Arial Unicode MS"/>
          <w:color w:val="666699"/>
          <w:sz w:val="18"/>
        </w:rPr>
        <w:t>號令制定公布全文</w:t>
      </w:r>
      <w:r w:rsidRPr="00AE5836">
        <w:rPr>
          <w:rFonts w:ascii="Arial Unicode MS" w:hAnsi="Arial Unicode MS"/>
          <w:color w:val="666699"/>
          <w:sz w:val="18"/>
        </w:rPr>
        <w:t>16</w:t>
      </w:r>
      <w:r w:rsidRPr="00AE5836">
        <w:rPr>
          <w:rFonts w:ascii="Arial Unicode MS" w:hAnsi="Arial Unicode MS"/>
          <w:color w:val="666699"/>
          <w:sz w:val="18"/>
        </w:rPr>
        <w:t>條</w:t>
      </w:r>
    </w:p>
    <w:p w14:paraId="020B9297" w14:textId="77777777" w:rsidR="00506557" w:rsidRP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2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中華民國八十六年二月二十五日總統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86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華總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一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義字第</w:t>
      </w:r>
      <w:r w:rsidRPr="00AE5836">
        <w:rPr>
          <w:rFonts w:ascii="Arial Unicode MS" w:hAnsi="Arial Unicode MS"/>
          <w:color w:val="666699"/>
          <w:sz w:val="18"/>
        </w:rPr>
        <w:t>8600052080</w:t>
      </w:r>
      <w:r w:rsidRPr="00AE5836">
        <w:rPr>
          <w:rFonts w:ascii="Arial Unicode MS" w:hAnsi="Arial Unicode MS"/>
          <w:color w:val="666699"/>
          <w:sz w:val="18"/>
        </w:rPr>
        <w:t>號令修正公布第</w:t>
      </w:r>
      <w:r w:rsidRPr="00AE5836">
        <w:rPr>
          <w:rFonts w:ascii="Arial Unicode MS" w:hAnsi="Arial Unicode MS"/>
          <w:color w:val="666699"/>
          <w:sz w:val="18"/>
        </w:rPr>
        <w:t>4</w:t>
      </w:r>
      <w:r w:rsidRPr="00AE5836">
        <w:rPr>
          <w:rFonts w:ascii="Arial Unicode MS" w:hAnsi="Arial Unicode MS"/>
          <w:color w:val="666699"/>
          <w:sz w:val="18"/>
        </w:rPr>
        <w:t>條條文</w:t>
      </w:r>
    </w:p>
    <w:p w14:paraId="110349CE" w14:textId="77777777" w:rsidR="00506557" w:rsidRP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3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中華民國八十六年十月四日總統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86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華總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一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義字第</w:t>
      </w:r>
      <w:r w:rsidRPr="00AE5836">
        <w:rPr>
          <w:rFonts w:ascii="Arial Unicode MS" w:hAnsi="Arial Unicode MS"/>
          <w:color w:val="666699"/>
          <w:sz w:val="18"/>
        </w:rPr>
        <w:t>8600217180</w:t>
      </w:r>
      <w:r w:rsidRPr="00AE5836">
        <w:rPr>
          <w:rFonts w:ascii="Arial Unicode MS" w:hAnsi="Arial Unicode MS"/>
          <w:color w:val="666699"/>
          <w:sz w:val="18"/>
        </w:rPr>
        <w:t>號令修正公布第</w:t>
      </w:r>
      <w:r w:rsidRPr="00AE5836">
        <w:rPr>
          <w:rFonts w:ascii="Arial Unicode MS" w:hAnsi="Arial Unicode MS"/>
          <w:color w:val="666699"/>
          <w:sz w:val="18"/>
        </w:rPr>
        <w:t>2</w:t>
      </w:r>
      <w:r w:rsidRPr="00AE5836">
        <w:rPr>
          <w:rFonts w:ascii="Arial Unicode MS" w:hAnsi="Arial Unicode MS"/>
          <w:color w:val="666699"/>
          <w:sz w:val="18"/>
        </w:rPr>
        <w:t>條條文</w:t>
      </w:r>
    </w:p>
    <w:p w14:paraId="463317FD" w14:textId="77777777" w:rsidR="00506557" w:rsidRP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4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中華民國八十七年六月十七日總統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87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華總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一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義字第</w:t>
      </w:r>
      <w:r w:rsidRPr="00AE5836">
        <w:rPr>
          <w:rFonts w:ascii="Arial Unicode MS" w:hAnsi="Arial Unicode MS"/>
          <w:color w:val="666699"/>
          <w:sz w:val="18"/>
        </w:rPr>
        <w:t>8700118690</w:t>
      </w:r>
      <w:r w:rsidRPr="00AE5836">
        <w:rPr>
          <w:rFonts w:ascii="Arial Unicode MS" w:hAnsi="Arial Unicode MS"/>
          <w:color w:val="666699"/>
          <w:sz w:val="18"/>
        </w:rPr>
        <w:t>號令修正公布第</w:t>
      </w:r>
      <w:r w:rsidRPr="00AE5836">
        <w:rPr>
          <w:rFonts w:ascii="Arial Unicode MS" w:hAnsi="Arial Unicode MS"/>
          <w:color w:val="666699"/>
          <w:sz w:val="18"/>
        </w:rPr>
        <w:t>3</w:t>
      </w:r>
      <w:r w:rsidRPr="00AE5836">
        <w:rPr>
          <w:rFonts w:ascii="Arial Unicode MS" w:hAnsi="Arial Unicode MS"/>
          <w:color w:val="666699"/>
          <w:sz w:val="18"/>
        </w:rPr>
        <w:t>、</w:t>
      </w:r>
      <w:r w:rsidRPr="00AE5836">
        <w:rPr>
          <w:rFonts w:ascii="Arial Unicode MS" w:hAnsi="Arial Unicode MS"/>
          <w:color w:val="666699"/>
          <w:sz w:val="18"/>
        </w:rPr>
        <w:t>8</w:t>
      </w:r>
      <w:r w:rsidRPr="00AE5836">
        <w:rPr>
          <w:rFonts w:ascii="Arial Unicode MS" w:hAnsi="Arial Unicode MS"/>
          <w:color w:val="666699"/>
          <w:sz w:val="18"/>
        </w:rPr>
        <w:t>、</w:t>
      </w:r>
      <w:r w:rsidRPr="00AE5836">
        <w:rPr>
          <w:rFonts w:ascii="Arial Unicode MS" w:hAnsi="Arial Unicode MS"/>
          <w:color w:val="666699"/>
          <w:sz w:val="18"/>
        </w:rPr>
        <w:t>16</w:t>
      </w:r>
      <w:r w:rsidRPr="00AE5836">
        <w:rPr>
          <w:rFonts w:ascii="Arial Unicode MS" w:hAnsi="Arial Unicode MS"/>
          <w:color w:val="666699"/>
          <w:sz w:val="18"/>
        </w:rPr>
        <w:t>條條文</w:t>
      </w:r>
    </w:p>
    <w:p w14:paraId="312C1F93" w14:textId="77777777" w:rsidR="00506557" w:rsidRP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5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中華民國八十九年二月九日總統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89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華總一義字第</w:t>
      </w:r>
      <w:r w:rsidRPr="00AE5836">
        <w:rPr>
          <w:rFonts w:ascii="Arial Unicode MS" w:hAnsi="Arial Unicode MS"/>
          <w:color w:val="666699"/>
          <w:sz w:val="18"/>
        </w:rPr>
        <w:t>8900031640</w:t>
      </w:r>
      <w:r w:rsidRPr="00AE5836">
        <w:rPr>
          <w:rFonts w:ascii="Arial Unicode MS" w:hAnsi="Arial Unicode MS"/>
          <w:color w:val="666699"/>
          <w:sz w:val="18"/>
        </w:rPr>
        <w:t>號令修正公布第</w:t>
      </w:r>
      <w:r w:rsidRPr="00AE5836">
        <w:rPr>
          <w:rFonts w:ascii="Arial Unicode MS" w:hAnsi="Arial Unicode MS"/>
          <w:color w:val="666699"/>
          <w:sz w:val="18"/>
        </w:rPr>
        <w:t>2</w:t>
      </w:r>
      <w:r w:rsidRPr="00AE5836">
        <w:rPr>
          <w:rFonts w:ascii="Arial Unicode MS" w:hAnsi="Arial Unicode MS"/>
          <w:color w:val="666699"/>
          <w:sz w:val="18"/>
        </w:rPr>
        <w:t>條條文</w:t>
      </w:r>
    </w:p>
    <w:p w14:paraId="04C41C01" w14:textId="77777777" w:rsidR="00506557" w:rsidRP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6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中華民國九十年十月五日總統</w:t>
      </w:r>
      <w:r w:rsidR="007138F6" w:rsidRPr="00AE5836">
        <w:rPr>
          <w:rFonts w:ascii="Arial Unicode MS" w:hAnsi="Arial Unicode MS"/>
          <w:color w:val="666699"/>
          <w:sz w:val="18"/>
        </w:rPr>
        <w:t>（</w:t>
      </w:r>
      <w:r w:rsidRPr="00AE5836">
        <w:rPr>
          <w:rFonts w:ascii="Arial Unicode MS" w:hAnsi="Arial Unicode MS"/>
          <w:color w:val="666699"/>
          <w:sz w:val="18"/>
        </w:rPr>
        <w:t>90</w:t>
      </w:r>
      <w:r w:rsidR="007138F6" w:rsidRPr="00AE5836">
        <w:rPr>
          <w:rFonts w:ascii="Arial Unicode MS" w:hAnsi="Arial Unicode MS"/>
          <w:color w:val="666699"/>
          <w:sz w:val="18"/>
        </w:rPr>
        <w:t>）</w:t>
      </w:r>
      <w:r w:rsidRPr="00AE5836">
        <w:rPr>
          <w:rFonts w:ascii="Arial Unicode MS" w:hAnsi="Arial Unicode MS"/>
          <w:color w:val="666699"/>
          <w:sz w:val="18"/>
        </w:rPr>
        <w:t>華總一義字第</w:t>
      </w:r>
      <w:r w:rsidRPr="00AE5836">
        <w:rPr>
          <w:rFonts w:ascii="Arial Unicode MS" w:hAnsi="Arial Unicode MS"/>
          <w:color w:val="666699"/>
          <w:sz w:val="18"/>
        </w:rPr>
        <w:t>9000199220</w:t>
      </w:r>
      <w:r w:rsidRPr="00AE5836">
        <w:rPr>
          <w:rFonts w:ascii="Arial Unicode MS" w:hAnsi="Arial Unicode MS"/>
          <w:color w:val="666699"/>
          <w:sz w:val="18"/>
        </w:rPr>
        <w:t>號令修正發布第</w:t>
      </w:r>
      <w:r w:rsidRPr="00AE5836">
        <w:rPr>
          <w:rFonts w:ascii="Arial Unicode MS" w:hAnsi="Arial Unicode MS"/>
          <w:color w:val="666699"/>
          <w:sz w:val="18"/>
        </w:rPr>
        <w:t>2</w:t>
      </w:r>
      <w:r w:rsidRPr="00AE5836">
        <w:rPr>
          <w:rFonts w:ascii="Arial Unicode MS" w:hAnsi="Arial Unicode MS"/>
          <w:color w:val="666699"/>
          <w:sz w:val="18"/>
        </w:rPr>
        <w:t>、</w:t>
      </w:r>
      <w:r w:rsidRPr="00AE5836">
        <w:rPr>
          <w:rFonts w:ascii="Arial Unicode MS" w:hAnsi="Arial Unicode MS"/>
          <w:color w:val="666699"/>
          <w:sz w:val="18"/>
        </w:rPr>
        <w:t>3</w:t>
      </w:r>
      <w:r w:rsidRPr="00AE5836">
        <w:rPr>
          <w:rFonts w:ascii="Arial Unicode MS" w:hAnsi="Arial Unicode MS"/>
          <w:color w:val="666699"/>
          <w:sz w:val="18"/>
        </w:rPr>
        <w:t>條條文</w:t>
      </w:r>
    </w:p>
    <w:p w14:paraId="7272FE6B" w14:textId="77777777" w:rsidR="00AE5836" w:rsidRDefault="00506557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E5836">
        <w:rPr>
          <w:rFonts w:ascii="Arial Unicode MS" w:hAnsi="Arial Unicode MS"/>
          <w:b/>
          <w:color w:val="666699"/>
          <w:sz w:val="18"/>
        </w:rPr>
        <w:t>7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AE5836">
        <w:rPr>
          <w:rFonts w:ascii="Arial Unicode MS" w:hAnsi="Arial Unicode MS"/>
          <w:color w:val="666699"/>
          <w:sz w:val="18"/>
        </w:rPr>
        <w:t>中華民國九十二年二月六日總統華總一義字第</w:t>
      </w:r>
      <w:r w:rsidRPr="00AE5836">
        <w:rPr>
          <w:rFonts w:ascii="Arial Unicode MS" w:hAnsi="Arial Unicode MS"/>
          <w:color w:val="666699"/>
          <w:sz w:val="18"/>
        </w:rPr>
        <w:t>09200017710</w:t>
      </w:r>
      <w:r w:rsidRPr="00AE5836">
        <w:rPr>
          <w:rFonts w:ascii="Arial Unicode MS" w:hAnsi="Arial Unicode MS"/>
          <w:color w:val="666699"/>
          <w:sz w:val="18"/>
        </w:rPr>
        <w:t>號令修正公布</w:t>
      </w:r>
      <w:hyperlink w:anchor="a2" w:history="1">
        <w:r w:rsidRPr="00AE5836">
          <w:rPr>
            <w:rStyle w:val="a3"/>
            <w:rFonts w:ascii="Arial Unicode MS" w:hAnsi="Arial Unicode MS"/>
            <w:color w:val="666699"/>
            <w:sz w:val="18"/>
          </w:rPr>
          <w:t>第</w:t>
        </w:r>
        <w:r w:rsidRPr="00AE5836">
          <w:rPr>
            <w:rStyle w:val="a3"/>
            <w:rFonts w:ascii="Arial Unicode MS" w:hAnsi="Arial Unicode MS"/>
            <w:color w:val="666699"/>
            <w:sz w:val="18"/>
          </w:rPr>
          <w:t>2</w:t>
        </w:r>
        <w:r w:rsidRPr="00AE5836">
          <w:rPr>
            <w:rStyle w:val="a3"/>
            <w:rFonts w:ascii="Arial Unicode MS" w:hAnsi="Arial Unicode MS"/>
            <w:color w:val="666699"/>
            <w:sz w:val="18"/>
          </w:rPr>
          <w:t>條</w:t>
        </w:r>
      </w:hyperlink>
      <w:r w:rsidRPr="00AE5836">
        <w:rPr>
          <w:rFonts w:ascii="Arial Unicode MS" w:hAnsi="Arial Unicode MS"/>
          <w:color w:val="666699"/>
          <w:sz w:val="18"/>
        </w:rPr>
        <w:t>條文</w:t>
      </w:r>
    </w:p>
    <w:p w14:paraId="40974795" w14:textId="77777777" w:rsidR="001072C0" w:rsidRPr="007138F6" w:rsidRDefault="001072C0" w:rsidP="00AE5836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7138F6">
        <w:rPr>
          <w:rFonts w:ascii="Arial Unicode MS" w:hAnsi="Arial Unicode MS" w:hint="eastAsia"/>
          <w:b/>
          <w:color w:val="666699"/>
          <w:sz w:val="18"/>
        </w:rPr>
        <w:t>8</w:t>
      </w:r>
      <w:r w:rsidR="00BF2318">
        <w:rPr>
          <w:rFonts w:ascii="Arial Unicode MS" w:hAnsi="Arial Unicode MS" w:hint="eastAsia"/>
          <w:b/>
          <w:color w:val="666699"/>
          <w:sz w:val="18"/>
        </w:rPr>
        <w:t>‧</w:t>
      </w:r>
      <w:r w:rsidRPr="007138F6">
        <w:rPr>
          <w:rFonts w:ascii="Arial Unicode MS" w:hAnsi="Arial Unicode MS" w:hint="eastAsia"/>
          <w:color w:val="666699"/>
          <w:sz w:val="18"/>
        </w:rPr>
        <w:t>中華民國九十六年三月二十一日總統華總一義字第</w:t>
      </w:r>
      <w:r w:rsidRPr="007138F6">
        <w:rPr>
          <w:rFonts w:ascii="Arial Unicode MS" w:hAnsi="Arial Unicode MS" w:hint="eastAsia"/>
          <w:color w:val="666699"/>
          <w:sz w:val="18"/>
        </w:rPr>
        <w:t>09600035261</w:t>
      </w:r>
      <w:r w:rsidRPr="007138F6">
        <w:rPr>
          <w:rFonts w:ascii="Arial Unicode MS" w:hAnsi="Arial Unicode MS" w:hint="eastAsia"/>
          <w:color w:val="666699"/>
          <w:sz w:val="18"/>
        </w:rPr>
        <w:t>號令修正公布名稱（</w:t>
      </w:r>
      <w:hyperlink r:id="rId13" w:history="1">
        <w:r w:rsidRPr="007138F6">
          <w:rPr>
            <w:rStyle w:val="a3"/>
            <w:rFonts w:ascii="Arial Unicode MS" w:hAnsi="Arial Unicode MS" w:hint="eastAsia"/>
            <w:sz w:val="18"/>
          </w:rPr>
          <w:t>二二八事件處理及賠償條例</w:t>
        </w:r>
      </w:hyperlink>
      <w:r w:rsidRPr="007138F6">
        <w:rPr>
          <w:rFonts w:ascii="Arial Unicode MS" w:hAnsi="Arial Unicode MS" w:hint="eastAsia"/>
          <w:color w:val="666699"/>
          <w:sz w:val="18"/>
        </w:rPr>
        <w:t>）及全文</w:t>
      </w:r>
      <w:r w:rsidRPr="007138F6">
        <w:rPr>
          <w:rFonts w:ascii="Arial Unicode MS" w:hAnsi="Arial Unicode MS" w:hint="eastAsia"/>
          <w:color w:val="666699"/>
          <w:sz w:val="18"/>
        </w:rPr>
        <w:t>17</w:t>
      </w:r>
      <w:r w:rsidRPr="007138F6">
        <w:rPr>
          <w:rFonts w:ascii="Arial Unicode MS" w:hAnsi="Arial Unicode MS" w:hint="eastAsia"/>
          <w:color w:val="666699"/>
          <w:sz w:val="18"/>
        </w:rPr>
        <w:t>條；並自公布日施行</w:t>
      </w:r>
    </w:p>
    <w:p w14:paraId="06A1EA96" w14:textId="77777777" w:rsidR="00506557" w:rsidRPr="007138F6" w:rsidRDefault="00506557">
      <w:pPr>
        <w:rPr>
          <w:rFonts w:ascii="Arial Unicode MS" w:hAnsi="Arial Unicode MS"/>
          <w:b/>
          <w:bCs/>
          <w:color w:val="800000"/>
          <w:sz w:val="20"/>
        </w:rPr>
      </w:pPr>
    </w:p>
    <w:p w14:paraId="0CB12C9A" w14:textId="77777777" w:rsidR="00506557" w:rsidRPr="00AE5836" w:rsidRDefault="00506557" w:rsidP="00AE5836">
      <w:pPr>
        <w:pStyle w:val="1"/>
        <w:snapToGrid w:val="0"/>
        <w:spacing w:before="100" w:beforeAutospacing="1" w:after="100" w:afterAutospacing="1"/>
        <w:textAlignment w:val="auto"/>
        <w:rPr>
          <w:rStyle w:val="a3"/>
          <w:rFonts w:ascii="Arial Unicode MS" w:hAnsi="Arial Unicode MS"/>
          <w:color w:val="auto"/>
        </w:rPr>
      </w:pPr>
      <w:r w:rsidRPr="00AE5836">
        <w:rPr>
          <w:color w:val="auto"/>
        </w:rPr>
        <w:t>【</w:t>
      </w:r>
      <w:r w:rsidRPr="00AE5836">
        <w:rPr>
          <w:rFonts w:hint="eastAsia"/>
          <w:color w:val="auto"/>
        </w:rPr>
        <w:t>法規內容</w:t>
      </w:r>
      <w:r w:rsidRPr="00AE5836">
        <w:rPr>
          <w:color w:val="auto"/>
        </w:rPr>
        <w:t>】</w:t>
      </w:r>
    </w:p>
    <w:p w14:paraId="0408B497" w14:textId="77777777" w:rsidR="00506557" w:rsidRPr="00AE583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7138F6" w:rsidRPr="00AE5836">
        <w:rPr>
          <w:rFonts w:hint="eastAsia"/>
        </w:rPr>
        <w:t>（</w:t>
      </w:r>
      <w:r w:rsidR="00506557" w:rsidRPr="00AE5836">
        <w:rPr>
          <w:rFonts w:hint="eastAsia"/>
        </w:rPr>
        <w:t>立法目的</w:t>
      </w:r>
      <w:r w:rsidR="007138F6" w:rsidRPr="00AE5836">
        <w:rPr>
          <w:rFonts w:hint="eastAsia"/>
        </w:rPr>
        <w:t>）</w:t>
      </w:r>
    </w:p>
    <w:p w14:paraId="5D04B183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為處理二二八事件（以下簡稱本事件）補償事宜，並使國民瞭解事件真相，撫平歷史傷痛，促進族群融和，特制定本條例。</w:t>
      </w:r>
    </w:p>
    <w:p w14:paraId="181AD252" w14:textId="77777777" w:rsidR="00506557" w:rsidRPr="007138F6" w:rsidRDefault="00623FAB" w:rsidP="00AE5836">
      <w:pPr>
        <w:pStyle w:val="2"/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受難者之定義及補償金之申請</w:t>
      </w:r>
      <w:r w:rsidR="007138F6">
        <w:rPr>
          <w:rFonts w:hint="eastAsia"/>
        </w:rPr>
        <w:t>）</w:t>
      </w:r>
    </w:p>
    <w:p w14:paraId="58036490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本條例所稱受難者，係指人民因本事件生命、身體、自由或財產遭受公務員或公權力侵害者。</w:t>
      </w:r>
    </w:p>
    <w:p w14:paraId="1535BAD0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受難者應於本條例施行之日起七年內，依本條例規定申請給付補償金。</w:t>
      </w:r>
    </w:p>
    <w:p w14:paraId="494C7083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前項期限屆滿後，若仍有受難者因故未及申請補償金，得再延長兩年。</w:t>
      </w:r>
    </w:p>
    <w:p w14:paraId="14853F37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受難者曾依司法程序或台灣省行政長官公署之行政命令獲取補償、撫卹或救濟者，不得申請登記。</w:t>
      </w:r>
    </w:p>
    <w:p w14:paraId="56D6CA7D" w14:textId="182E140D" w:rsidR="00506557" w:rsidRPr="00AE5836" w:rsidRDefault="00506557" w:rsidP="00AE5836">
      <w:pPr>
        <w:pStyle w:val="3"/>
      </w:pPr>
      <w:r w:rsidRPr="00AE5836">
        <w:rPr>
          <w:rFonts w:hint="eastAsia"/>
        </w:rPr>
        <w:t>--92</w:t>
      </w:r>
      <w:r w:rsidRPr="00AE5836">
        <w:rPr>
          <w:rFonts w:hint="eastAsia"/>
        </w:rPr>
        <w:t>年</w:t>
      </w:r>
      <w:r w:rsidRPr="00AE5836">
        <w:rPr>
          <w:rFonts w:hint="eastAsia"/>
        </w:rPr>
        <w:t>2</w:t>
      </w:r>
      <w:r w:rsidRPr="00AE5836">
        <w:rPr>
          <w:rFonts w:hint="eastAsia"/>
        </w:rPr>
        <w:t>月</w:t>
      </w:r>
      <w:r w:rsidRPr="00AE5836">
        <w:rPr>
          <w:rFonts w:hint="eastAsia"/>
        </w:rPr>
        <w:t>6</w:t>
      </w:r>
      <w:r w:rsidR="00105C05">
        <w:rPr>
          <w:rFonts w:hint="eastAsia"/>
        </w:rPr>
        <w:t>日修正前條文</w:t>
      </w:r>
      <w:r w:rsidR="00105C05">
        <w:rPr>
          <w:rFonts w:hint="eastAsia"/>
        </w:rPr>
        <w:t>--</w:t>
      </w:r>
    </w:p>
    <w:p w14:paraId="09230F61" w14:textId="77777777" w:rsidR="00EA79A5" w:rsidRPr="00937CEC" w:rsidRDefault="002122E3" w:rsidP="002122E3">
      <w:pPr>
        <w:ind w:leftChars="76" w:left="182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/>
          <w:color w:val="626262"/>
          <w:sz w:val="20"/>
        </w:rPr>
        <w:t>本條例所稱受難者，係指人民因本事件生命、身體、自由或財產遭受公務員或公權力侵害者。</w:t>
      </w:r>
    </w:p>
    <w:p w14:paraId="2111BA48" w14:textId="77777777" w:rsidR="00EA79A5" w:rsidRPr="007138F6" w:rsidRDefault="00506557" w:rsidP="002122E3">
      <w:pPr>
        <w:ind w:leftChars="76" w:left="182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/>
          <w:color w:val="666699"/>
          <w:sz w:val="20"/>
        </w:rPr>
        <w:t xml:space="preserve">　　受難者應於本條例施行之日起五年內，依本條例規定申請給付補償金。</w:t>
      </w:r>
    </w:p>
    <w:p w14:paraId="40241EEB" w14:textId="77777777" w:rsidR="00EA79A5" w:rsidRPr="00937CEC" w:rsidRDefault="00506557" w:rsidP="002122E3">
      <w:pPr>
        <w:ind w:leftChars="76" w:left="182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/>
          <w:color w:val="626262"/>
          <w:sz w:val="20"/>
        </w:rPr>
        <w:t xml:space="preserve">　　前項期限屆滿後，若仍有受難者因故未及申請補償金，得再延長兩年。</w:t>
      </w:r>
    </w:p>
    <w:p w14:paraId="44C2F124" w14:textId="77777777" w:rsidR="00506557" w:rsidRPr="007138F6" w:rsidRDefault="00506557" w:rsidP="002122E3">
      <w:pPr>
        <w:ind w:leftChars="76" w:left="182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/>
          <w:color w:val="666699"/>
          <w:sz w:val="20"/>
        </w:rPr>
        <w:t xml:space="preserve">　　受難者曾依司法程序或台灣省行政長官公署之行政命令獲取補償、撫卹或救濟者，不得申請登記。</w:t>
      </w:r>
    </w:p>
    <w:p w14:paraId="05A9CEC5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紀念基金會之設置及員額</w:t>
      </w:r>
      <w:r w:rsidR="007138F6">
        <w:rPr>
          <w:rFonts w:hint="eastAsia"/>
        </w:rPr>
        <w:t>）</w:t>
      </w:r>
    </w:p>
    <w:p w14:paraId="5E6E0321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行政院為處理受難者之認定及申請補償事宜，得設「財團法人二二八事件紀念基金會」（以下簡稱紀念基金會），由學者專家、社會公正人士、政府及受難者或其家屬代表組成之。</w:t>
      </w:r>
    </w:p>
    <w:p w14:paraId="3D7ADF3B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受難者或其家屬代表不得少於紀念基金會委員總額之四分之一。</w:t>
      </w:r>
    </w:p>
    <w:p w14:paraId="2DD2B6E6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申請人不服基金會決定時，得依法提起訴願及行政訴訟。</w:t>
      </w:r>
    </w:p>
    <w:p w14:paraId="07BF4E94" w14:textId="77777777" w:rsidR="00506557" w:rsidRPr="007138F6" w:rsidRDefault="00623FAB" w:rsidP="00AE5836">
      <w:pPr>
        <w:pStyle w:val="2"/>
      </w:pPr>
      <w:bookmarkStart w:id="3" w:name="a4"/>
      <w:bookmarkEnd w:id="3"/>
      <w:r>
        <w:rPr>
          <w:rFonts w:hint="eastAsia"/>
        </w:rPr>
        <w:lastRenderedPageBreak/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紀念活動之舉行</w:t>
      </w:r>
      <w:r w:rsidR="007138F6">
        <w:rPr>
          <w:rFonts w:hint="eastAsia"/>
        </w:rPr>
        <w:t>）</w:t>
      </w:r>
    </w:p>
    <w:p w14:paraId="51364002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政府應於紀念碑建成屆紀念日時，舉行落成儀式，敦請總統或請相關首長發表重要談話。</w:t>
      </w:r>
    </w:p>
    <w:p w14:paraId="29426811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定每年二月二十八日為「和平紀念日」，為國定紀念日，應予放假。</w:t>
      </w:r>
    </w:p>
    <w:p w14:paraId="739F17C2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本事件之紀念活動，由基金會籌辦之。</w:t>
      </w:r>
    </w:p>
    <w:p w14:paraId="395F6789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大赦或特赦之情形</w:t>
      </w:r>
      <w:r w:rsidR="007138F6">
        <w:rPr>
          <w:rFonts w:hint="eastAsia"/>
        </w:rPr>
        <w:t>）</w:t>
      </w:r>
    </w:p>
    <w:p w14:paraId="1C13C891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紀念基金會應依調查結果，對受死刑或有期徒刑以上刑或拘役處分之宣告並執行者，或未宣告而執行者，呈請總統大赦或特赦。</w:t>
      </w:r>
    </w:p>
    <w:p w14:paraId="3E021554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名譽受損申請回復</w:t>
      </w:r>
      <w:r w:rsidR="007138F6">
        <w:rPr>
          <w:rFonts w:hint="eastAsia"/>
        </w:rPr>
        <w:t>）</w:t>
      </w:r>
    </w:p>
    <w:p w14:paraId="70F90942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受難者及受難者家屬名譽受損者，得申請回復之；其戶籍失實者，得申請更正之。</w:t>
      </w:r>
    </w:p>
    <w:p w14:paraId="1CE52FB3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補償金數額</w:t>
      </w:r>
      <w:r w:rsidR="007138F6">
        <w:rPr>
          <w:rFonts w:hint="eastAsia"/>
        </w:rPr>
        <w:t>）</w:t>
      </w:r>
    </w:p>
    <w:p w14:paraId="1F63B049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受難者之補償金額，以基數計算，每一基數為新臺幣拾萬元，但最高不得超過六十個基數。</w:t>
      </w:r>
    </w:p>
    <w:p w14:paraId="4E6E9438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前項補償金數額由紀念基金會依受難者之受難程度，訂定標準。</w:t>
      </w:r>
    </w:p>
    <w:p w14:paraId="03390EED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補償金之申請、認定程序及發放事宜，由紀念基金委員會定之。</w:t>
      </w:r>
    </w:p>
    <w:p w14:paraId="3EFE40C3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補償範圍</w:t>
      </w:r>
      <w:r w:rsidR="007138F6">
        <w:rPr>
          <w:rFonts w:hint="eastAsia"/>
        </w:rPr>
        <w:t>）</w:t>
      </w:r>
    </w:p>
    <w:p w14:paraId="3B074831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補償範圍如左：</w:t>
      </w:r>
    </w:p>
    <w:p w14:paraId="216957FE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一、死亡或失蹤。</w:t>
      </w:r>
    </w:p>
    <w:p w14:paraId="61617D18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二、傷殘者。</w:t>
      </w:r>
    </w:p>
    <w:p w14:paraId="7408E90B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三、遭受羈押或徒刑之執行者。</w:t>
      </w:r>
    </w:p>
    <w:p w14:paraId="14E13758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四、財物損失者。</w:t>
      </w:r>
    </w:p>
    <w:p w14:paraId="1F14F79F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五、健康名譽受損者。</w:t>
      </w:r>
    </w:p>
    <w:p w14:paraId="026C61A3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六、其餘未規定事項授權紀念基金會訂定之。</w:t>
      </w:r>
    </w:p>
    <w:p w14:paraId="12EA59A6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對於事件中受害之教育文化機構，得申請回復名譽，並得請求協助其復原。</w:t>
      </w:r>
    </w:p>
    <w:p w14:paraId="437DE7F5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受難人之認證</w:t>
      </w:r>
      <w:r w:rsidR="007138F6">
        <w:rPr>
          <w:rFonts w:hint="eastAsia"/>
        </w:rPr>
        <w:t>）</w:t>
      </w:r>
    </w:p>
    <w:p w14:paraId="50388AC1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紀念基金會應獨立超然行使職權，不受任何干預，對事件調查事實及相關資料，認定事件受難人，並公布受難人名單，受理補償金請求及支付。</w:t>
      </w:r>
    </w:p>
    <w:p w14:paraId="242FE568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受難人家屬亦得檢附具體資料或相關證人，以書面向紀念基金會申請調查，據以認定為受難人。</w:t>
      </w:r>
    </w:p>
    <w:p w14:paraId="5C8091B5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前項情形紀念基金會應於收受後三個月內處理完畢。</w:t>
      </w:r>
    </w:p>
    <w:p w14:paraId="4B62BF2B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檔案及文件之調閱</w:t>
      </w:r>
      <w:r w:rsidR="007138F6">
        <w:rPr>
          <w:rFonts w:hint="eastAsia"/>
        </w:rPr>
        <w:t>）</w:t>
      </w:r>
    </w:p>
    <w:p w14:paraId="264CBC79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紀念基金會為調查受難人受難情形，得調閱政府機關或民間團體所收藏之文件及檔案，各級政府機關或民間團體不得拒絕。其有故意違犯者，該單位主管及承辦人員應依刑法第</w:t>
      </w:r>
      <w:hyperlink r:id="rId14" w:anchor="a165" w:history="1">
        <w:r w:rsidR="00506557" w:rsidRPr="007138F6">
          <w:rPr>
            <w:rStyle w:val="a3"/>
            <w:rFonts w:ascii="Arial Unicode MS" w:hAnsi="Arial Unicode MS" w:hint="eastAsia"/>
          </w:rPr>
          <w:t>一百六十五</w:t>
        </w:r>
      </w:hyperlink>
      <w:r w:rsidR="00506557" w:rsidRPr="007138F6">
        <w:rPr>
          <w:rFonts w:ascii="Arial Unicode MS" w:hAnsi="Arial Unicode MS" w:hint="eastAsia"/>
          <w:color w:val="666699"/>
          <w:sz w:val="20"/>
        </w:rPr>
        <w:t>條科以刑責。</w:t>
      </w:r>
    </w:p>
    <w:p w14:paraId="68E73E5A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前項所稱檔案係指有關二二八資料，檔案上不必然有二二八字樣。</w:t>
      </w:r>
    </w:p>
    <w:p w14:paraId="0A4FFF14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基金用途</w:t>
      </w:r>
      <w:r w:rsidR="007138F6">
        <w:rPr>
          <w:rFonts w:hint="eastAsia"/>
        </w:rPr>
        <w:t>）</w:t>
      </w:r>
    </w:p>
    <w:p w14:paraId="39F969D3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紀念基金會之基金為左列各款之用途：</w:t>
      </w:r>
    </w:p>
    <w:p w14:paraId="305D890A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一、給付補償金。</w:t>
      </w:r>
    </w:p>
    <w:p w14:paraId="0F5EFFC1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二、舉辦二二八事件紀念活動。</w:t>
      </w:r>
    </w:p>
    <w:p w14:paraId="4A864EA7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三、舉辦協助國人瞭解二二八事件真相之文宣活動。</w:t>
      </w:r>
    </w:p>
    <w:p w14:paraId="1D8437B5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四、二二八事件之教材或著作之補助。</w:t>
      </w:r>
    </w:p>
    <w:p w14:paraId="7459E8D4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lastRenderedPageBreak/>
        <w:t xml:space="preserve">　　五、二二八事件有關調查、考證活動之補助。</w:t>
      </w:r>
    </w:p>
    <w:p w14:paraId="3845F132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六、其他有助平反受難者名譽，促進臺灣社會和平之用途。</w:t>
      </w:r>
    </w:p>
    <w:p w14:paraId="6E42DF75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基金來源</w:t>
      </w:r>
      <w:r w:rsidR="007138F6">
        <w:rPr>
          <w:rFonts w:hint="eastAsia"/>
        </w:rPr>
        <w:t>）</w:t>
      </w:r>
    </w:p>
    <w:p w14:paraId="1683729C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基金會之基金來源如左：</w:t>
      </w:r>
    </w:p>
    <w:p w14:paraId="4BD07BC0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一、政府循預算程序捐贈。</w:t>
      </w:r>
    </w:p>
    <w:p w14:paraId="18284D9E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二、國內外公司、團體或個人之捐贈。</w:t>
      </w:r>
    </w:p>
    <w:p w14:paraId="5D366A35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三、基金孳息及運用收益之收入。</w:t>
      </w:r>
    </w:p>
    <w:p w14:paraId="0B955BDB" w14:textId="77777777" w:rsidR="00506557" w:rsidRPr="00937CEC" w:rsidRDefault="00506557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四、其他收入。</w:t>
      </w:r>
    </w:p>
    <w:p w14:paraId="7BF1A9E9" w14:textId="77777777" w:rsidR="00506557" w:rsidRPr="00937CEC" w:rsidRDefault="00506557" w:rsidP="00937CEC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937CEC">
        <w:rPr>
          <w:rFonts w:ascii="Arial Unicode MS" w:hAnsi="Arial Unicode MS" w:hint="eastAsia"/>
          <w:color w:val="666699"/>
          <w:sz w:val="20"/>
        </w:rPr>
        <w:t xml:space="preserve">　　經費如有不足，由政府循預算程序捐贈。</w:t>
      </w:r>
    </w:p>
    <w:p w14:paraId="0110492F" w14:textId="77777777" w:rsidR="00506557" w:rsidRPr="007138F6" w:rsidRDefault="00506557" w:rsidP="00506557">
      <w:pPr>
        <w:ind w:leftChars="75" w:left="180"/>
        <w:jc w:val="both"/>
        <w:rPr>
          <w:rFonts w:ascii="Arial Unicode MS" w:hAnsi="Arial Unicode MS"/>
          <w:color w:val="7F7F7F"/>
          <w:sz w:val="20"/>
        </w:rPr>
      </w:pPr>
      <w:r w:rsidRPr="007138F6">
        <w:rPr>
          <w:rFonts w:ascii="Arial Unicode MS" w:hAnsi="Arial Unicode MS" w:hint="eastAsia"/>
          <w:color w:val="7F7F7F"/>
          <w:sz w:val="20"/>
        </w:rPr>
        <w:t xml:space="preserve">　　依本條例規定支付之補償金，免納所得稅。</w:t>
      </w:r>
    </w:p>
    <w:p w14:paraId="68D43529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受難者家屬之定義</w:t>
      </w:r>
      <w:r w:rsidR="007138F6">
        <w:rPr>
          <w:rFonts w:hint="eastAsia"/>
        </w:rPr>
        <w:t>）</w:t>
      </w:r>
    </w:p>
    <w:p w14:paraId="300862BA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本條例所稱受難者家屬，係指已死亡或失蹤之受難者，其依民法第</w:t>
      </w:r>
      <w:hyperlink r:id="rId15" w:anchor="a1138" w:history="1">
        <w:r w:rsidR="00506557" w:rsidRPr="007138F6">
          <w:rPr>
            <w:rStyle w:val="a3"/>
            <w:rFonts w:ascii="Arial Unicode MS" w:hAnsi="Arial Unicode MS" w:hint="eastAsia"/>
          </w:rPr>
          <w:t>一千一百三十八</w:t>
        </w:r>
      </w:hyperlink>
      <w:r w:rsidR="00506557" w:rsidRPr="007138F6">
        <w:rPr>
          <w:rFonts w:ascii="Arial Unicode MS" w:hAnsi="Arial Unicode MS" w:hint="eastAsia"/>
          <w:color w:val="666699"/>
          <w:sz w:val="20"/>
        </w:rPr>
        <w:t>條規定順序之法定繼承人。</w:t>
      </w:r>
    </w:p>
    <w:p w14:paraId="4CC05009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補償金之發給</w:t>
      </w:r>
      <w:r w:rsidR="007138F6">
        <w:rPr>
          <w:rFonts w:hint="eastAsia"/>
        </w:rPr>
        <w:t>）</w:t>
      </w:r>
    </w:p>
    <w:p w14:paraId="08CB5AA4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經紀念基金會調查認定，合乎本條例補償對象者，於認定核發之日起二個月內一次發給。自通知領取之日起逾五年未領取者，其補償金歸屬二二八事件紀念基金。</w:t>
      </w:r>
    </w:p>
    <w:p w14:paraId="7C60F23B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補償金之請領</w:t>
      </w:r>
      <w:r w:rsidR="007138F6">
        <w:rPr>
          <w:rFonts w:hint="eastAsia"/>
        </w:rPr>
        <w:t>）</w:t>
      </w:r>
    </w:p>
    <w:p w14:paraId="2E39CB87" w14:textId="77777777" w:rsidR="00506557" w:rsidRPr="007138F6" w:rsidRDefault="002122E3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</w:t>
      </w:r>
      <w:r w:rsidR="00506557" w:rsidRPr="007138F6">
        <w:rPr>
          <w:rFonts w:ascii="Arial Unicode MS" w:hAnsi="Arial Unicode MS" w:hint="eastAsia"/>
          <w:color w:val="666699"/>
          <w:sz w:val="20"/>
        </w:rPr>
        <w:t>請領本條例所定補償金之權利，不得扣押、讓與或供擔保。</w:t>
      </w:r>
    </w:p>
    <w:p w14:paraId="7A41CAE3" w14:textId="77777777" w:rsidR="00506557" w:rsidRPr="007138F6" w:rsidRDefault="00623FAB" w:rsidP="00AE583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7138F6">
        <w:rPr>
          <w:rFonts w:hint="eastAsia"/>
        </w:rPr>
        <w:t>（</w:t>
      </w:r>
      <w:r w:rsidR="00506557" w:rsidRPr="007138F6">
        <w:rPr>
          <w:rFonts w:hint="eastAsia"/>
        </w:rPr>
        <w:t>施行日</w:t>
      </w:r>
      <w:r w:rsidR="007138F6">
        <w:rPr>
          <w:rFonts w:hint="eastAsia"/>
        </w:rPr>
        <w:t>）</w:t>
      </w:r>
    </w:p>
    <w:p w14:paraId="4911664B" w14:textId="77777777" w:rsidR="00506557" w:rsidRPr="00937CEC" w:rsidRDefault="002122E3" w:rsidP="0050655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937CEC">
        <w:rPr>
          <w:rFonts w:ascii="Arial Unicode MS" w:hAnsi="Arial Unicode MS" w:hint="eastAsia"/>
          <w:color w:val="626262"/>
          <w:sz w:val="20"/>
        </w:rPr>
        <w:t xml:space="preserve">　　</w:t>
      </w:r>
      <w:r w:rsidR="00506557" w:rsidRPr="00937CEC">
        <w:rPr>
          <w:rFonts w:ascii="Arial Unicode MS" w:hAnsi="Arial Unicode MS" w:hint="eastAsia"/>
          <w:color w:val="626262"/>
          <w:sz w:val="20"/>
        </w:rPr>
        <w:t>本條例自公布日起六個月施行。</w:t>
      </w:r>
    </w:p>
    <w:p w14:paraId="3B8E2097" w14:textId="77777777" w:rsidR="002122E3" w:rsidRPr="007138F6" w:rsidRDefault="00506557" w:rsidP="0050655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138F6">
        <w:rPr>
          <w:rFonts w:ascii="Arial Unicode MS" w:hAnsi="Arial Unicode MS" w:hint="eastAsia"/>
          <w:color w:val="666699"/>
          <w:sz w:val="20"/>
        </w:rPr>
        <w:t xml:space="preserve">　　本條例修正條文自公布日施行。</w:t>
      </w:r>
    </w:p>
    <w:p w14:paraId="5685166C" w14:textId="77777777" w:rsidR="002122E3" w:rsidRDefault="002122E3" w:rsidP="00990F03">
      <w:pPr>
        <w:ind w:leftChars="50" w:left="840" w:hangingChars="400" w:hanging="720"/>
        <w:jc w:val="both"/>
        <w:rPr>
          <w:rFonts w:ascii="Arial Unicode MS" w:hAnsi="Arial Unicode MS"/>
          <w:color w:val="808080"/>
          <w:sz w:val="18"/>
          <w:szCs w:val="18"/>
        </w:rPr>
      </w:pPr>
    </w:p>
    <w:p w14:paraId="4ABA17B5" w14:textId="77777777" w:rsidR="0040109E" w:rsidRPr="007138F6" w:rsidRDefault="0040109E" w:rsidP="00990F03">
      <w:pPr>
        <w:ind w:leftChars="50" w:left="840" w:hangingChars="400" w:hanging="720"/>
        <w:jc w:val="both"/>
        <w:rPr>
          <w:rFonts w:ascii="Arial Unicode MS" w:hAnsi="Arial Unicode MS"/>
          <w:color w:val="808080"/>
          <w:sz w:val="18"/>
          <w:szCs w:val="18"/>
        </w:rPr>
      </w:pPr>
    </w:p>
    <w:p w14:paraId="0EDFC416" w14:textId="77777777" w:rsidR="00105C05" w:rsidRPr="00C1655B" w:rsidRDefault="00105C05" w:rsidP="00105C05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671545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362CC3FC" w14:textId="224492DD" w:rsidR="00990F03" w:rsidRPr="007138F6" w:rsidRDefault="00105C05" w:rsidP="00105C05">
      <w:pPr>
        <w:ind w:leftChars="71" w:left="170"/>
        <w:jc w:val="both"/>
        <w:rPr>
          <w:rFonts w:ascii="Arial Unicode MS" w:hAnsi="Arial Unicode MS"/>
          <w:color w:val="666699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6236B1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990F03" w:rsidRPr="007138F6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A5B70" w14:textId="77777777" w:rsidR="00485789" w:rsidRDefault="00485789" w:rsidP="00AE5836">
      <w:pPr>
        <w:pStyle w:val="3"/>
      </w:pPr>
      <w:r>
        <w:separator/>
      </w:r>
    </w:p>
  </w:endnote>
  <w:endnote w:type="continuationSeparator" w:id="0">
    <w:p w14:paraId="79D58F83" w14:textId="77777777" w:rsidR="00485789" w:rsidRDefault="00485789" w:rsidP="00AE5836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C6E6" w14:textId="77777777" w:rsidR="00506557" w:rsidRDefault="0050655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6A1330" w14:textId="77777777" w:rsidR="00506557" w:rsidRDefault="0050655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0D8AF" w14:textId="77777777" w:rsidR="00506557" w:rsidRDefault="0050655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01BC">
      <w:rPr>
        <w:rStyle w:val="a7"/>
        <w:noProof/>
      </w:rPr>
      <w:t>1</w:t>
    </w:r>
    <w:r>
      <w:rPr>
        <w:rStyle w:val="a7"/>
      </w:rPr>
      <w:fldChar w:fldCharType="end"/>
    </w:r>
  </w:p>
  <w:p w14:paraId="5C2588F0" w14:textId="191E1613" w:rsidR="00506557" w:rsidRPr="00AE5836" w:rsidRDefault="00105C05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990F03" w:rsidRPr="00AE5836">
      <w:rPr>
        <w:rFonts w:ascii="Arial Unicode MS" w:hAnsi="Arial Unicode MS" w:hint="eastAsia"/>
        <w:sz w:val="18"/>
      </w:rPr>
      <w:t>二二八事件處理及補償條例</w:t>
    </w:r>
    <w:r w:rsidR="001072C0" w:rsidRPr="00AE5836">
      <w:rPr>
        <w:rFonts w:ascii="Arial Unicode MS" w:hAnsi="Arial Unicode MS" w:hint="eastAsia"/>
        <w:sz w:val="18"/>
      </w:rPr>
      <w:t>(</w:t>
    </w:r>
    <w:r w:rsidR="001072C0" w:rsidRPr="00AE5836">
      <w:rPr>
        <w:rFonts w:ascii="Arial Unicode MS" w:hAnsi="Arial Unicode MS" w:hint="eastAsia"/>
        <w:sz w:val="18"/>
      </w:rPr>
      <w:t>廢</w:t>
    </w:r>
    <w:r w:rsidR="001072C0" w:rsidRPr="00AE5836">
      <w:rPr>
        <w:rFonts w:ascii="Arial Unicode MS" w:hAnsi="Arial Unicode MS" w:hint="eastAsia"/>
        <w:sz w:val="18"/>
      </w:rPr>
      <w:t xml:space="preserve">) </w:t>
    </w:r>
    <w:r>
      <w:rPr>
        <w:rFonts w:ascii="Arial Unicode MS" w:hAnsi="Arial Unicode MS" w:hint="eastAsia"/>
        <w:sz w:val="18"/>
      </w:rPr>
      <w:t>〉〉</w:t>
    </w:r>
    <w:r w:rsidR="00506557" w:rsidRPr="00AE5836">
      <w:rPr>
        <w:rFonts w:ascii="Arial Unicode MS" w:hAnsi="Arial Unicode MS"/>
        <w:sz w:val="18"/>
      </w:rPr>
      <w:t>S</w:t>
    </w:r>
    <w:r w:rsidR="00506557" w:rsidRPr="00AE5836">
      <w:rPr>
        <w:rFonts w:ascii="Arial Unicode MS" w:hAnsi="Arial Unicode MS" w:hint="eastAsia"/>
        <w:sz w:val="18"/>
      </w:rPr>
      <w:t xml:space="preserve">-link </w:t>
    </w:r>
    <w:r w:rsidR="00506557" w:rsidRPr="00AE5836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BFA5" w14:textId="77777777" w:rsidR="00485789" w:rsidRDefault="00485789" w:rsidP="00AE5836">
      <w:pPr>
        <w:pStyle w:val="3"/>
      </w:pPr>
      <w:r>
        <w:separator/>
      </w:r>
    </w:p>
  </w:footnote>
  <w:footnote w:type="continuationSeparator" w:id="0">
    <w:p w14:paraId="283C2885" w14:textId="77777777" w:rsidR="00485789" w:rsidRDefault="00485789" w:rsidP="00AE5836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57"/>
    <w:rsid w:val="000D1E80"/>
    <w:rsid w:val="00105C05"/>
    <w:rsid w:val="001072C0"/>
    <w:rsid w:val="00126FFE"/>
    <w:rsid w:val="002122E3"/>
    <w:rsid w:val="002245BC"/>
    <w:rsid w:val="00233419"/>
    <w:rsid w:val="00392EA5"/>
    <w:rsid w:val="003D1221"/>
    <w:rsid w:val="0040109E"/>
    <w:rsid w:val="00485789"/>
    <w:rsid w:val="004D2F11"/>
    <w:rsid w:val="00506557"/>
    <w:rsid w:val="00623FAB"/>
    <w:rsid w:val="0068113E"/>
    <w:rsid w:val="007138F6"/>
    <w:rsid w:val="007142A6"/>
    <w:rsid w:val="00772041"/>
    <w:rsid w:val="007F6853"/>
    <w:rsid w:val="0085026F"/>
    <w:rsid w:val="00937CEC"/>
    <w:rsid w:val="00985401"/>
    <w:rsid w:val="00990F03"/>
    <w:rsid w:val="009A48CF"/>
    <w:rsid w:val="00AE5836"/>
    <w:rsid w:val="00B001BC"/>
    <w:rsid w:val="00B55BE1"/>
    <w:rsid w:val="00BB77EA"/>
    <w:rsid w:val="00BF2318"/>
    <w:rsid w:val="00C51ECD"/>
    <w:rsid w:val="00C860B9"/>
    <w:rsid w:val="00DB4608"/>
    <w:rsid w:val="00EA1926"/>
    <w:rsid w:val="00E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70310"/>
  <w15:docId w15:val="{4111AD0F-949F-4FFB-A7F4-780F6D0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AE5836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AE5836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AE5836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AE5836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AE5836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AE5836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uiPriority w:val="99"/>
    <w:semiHidden/>
    <w:unhideWhenUsed/>
    <w:rsid w:val="00105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law/&#20108;&#20108;&#20843;&#20107;&#20214;&#34389;&#29702;&#21450;&#36064;&#20767;&#26781;&#20363;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6law/law/&#20108;&#20108;&#20843;&#20107;&#20214;&#34389;&#29702;&#21450;&#35036;&#20767;&#26781;&#20363;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7665;&#27861;.docx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21009;&#27861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Links>
    <vt:vector size="60" baseType="variant">
      <vt:variant>
        <vt:i4>2949124</vt:i4>
      </vt:variant>
      <vt:variant>
        <vt:i4>27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1825598464</vt:i4>
      </vt:variant>
      <vt:variant>
        <vt:i4>21</vt:i4>
      </vt:variant>
      <vt:variant>
        <vt:i4>0</vt:i4>
      </vt:variant>
      <vt:variant>
        <vt:i4>5</vt:i4>
      </vt:variant>
      <vt:variant>
        <vt:lpwstr>民法.doc</vt:lpwstr>
      </vt:variant>
      <vt:variant>
        <vt:lpwstr>a1138</vt:lpwstr>
      </vt:variant>
      <vt:variant>
        <vt:i4>1825985031</vt:i4>
      </vt:variant>
      <vt:variant>
        <vt:i4>18</vt:i4>
      </vt:variant>
      <vt:variant>
        <vt:i4>0</vt:i4>
      </vt:variant>
      <vt:variant>
        <vt:i4>5</vt:i4>
      </vt:variant>
      <vt:variant>
        <vt:lpwstr>刑法.doc</vt:lpwstr>
      </vt:variant>
      <vt:variant>
        <vt:lpwstr>a165</vt:lpwstr>
      </vt:variant>
      <vt:variant>
        <vt:i4>-888422101</vt:i4>
      </vt:variant>
      <vt:variant>
        <vt:i4>15</vt:i4>
      </vt:variant>
      <vt:variant>
        <vt:i4>0</vt:i4>
      </vt:variant>
      <vt:variant>
        <vt:i4>5</vt:i4>
      </vt:variant>
      <vt:variant>
        <vt:lpwstr>二二八事件處理及賠償條例.doc</vt:lpwstr>
      </vt:variant>
      <vt:variant>
        <vt:lpwstr/>
      </vt:variant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-883899133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http://www.6law.idv.tw/6law/law/二二八事件處理及補償條例.htm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二二八事件處理及補償條例(廢)</dc:title>
  <dc:subject/>
  <dc:creator>S-link 電子六法-黃婉玲</dc:creator>
  <cp:keywords/>
  <dc:description/>
  <cp:lastModifiedBy>黃婉玲 S-link電子六法</cp:lastModifiedBy>
  <cp:revision>5</cp:revision>
  <dcterms:created xsi:type="dcterms:W3CDTF">2014-11-27T09:04:00Z</dcterms:created>
  <dcterms:modified xsi:type="dcterms:W3CDTF">2019-10-27T06:40:00Z</dcterms:modified>
</cp:coreProperties>
</file>