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653" w14:textId="1511CF86" w:rsidR="00373827" w:rsidRDefault="00F8619D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5F252C06" wp14:editId="3016CE87">
            <wp:extent cx="415637" cy="415637"/>
            <wp:effectExtent l="0" t="0" r="3810" b="3810"/>
            <wp:docPr id="6" name="圖片 6" descr="一張含有 美工圖案 的圖片&#10;&#10;自動產生的描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美工圖案 的圖片&#10;&#10;自動產生的描述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A3CAF" w14:textId="17444289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81544">
        <w:rPr>
          <w:sz w:val="18"/>
        </w:rPr>
        <w:t>2025/8/18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490AB5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E94405">
          <w:rPr>
            <w:rStyle w:val="a3"/>
            <w:sz w:val="18"/>
            <w:szCs w:val="20"/>
          </w:rPr>
          <w:t>黃婉玲</w:t>
        </w:r>
      </w:hyperlink>
    </w:p>
    <w:p w14:paraId="25A6D7B3" w14:textId="2E788CDD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24136E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5AB3FD21" w14:textId="77777777" w:rsidTr="00A83EB0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0CADBB82" w14:textId="77777777" w:rsidR="00A6011A" w:rsidRPr="006E3BC0" w:rsidRDefault="00A51BA6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51BA6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7FFF16A8" w14:textId="5C9762A1" w:rsidR="00A6011A" w:rsidRPr="007343FE" w:rsidRDefault="007343FE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Cs/>
                <w:color w:val="000000"/>
                <w:sz w:val="28"/>
                <w:szCs w:val="28"/>
              </w:rPr>
            </w:pPr>
            <w:r w:rsidRPr="007343FE">
              <w:rPr>
                <w:rFonts w:ascii="新細明體" w:eastAsia="標楷體" w:hAnsi="新細明體" w:hint="eastAsia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國家運動產業發展中心設置條例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5599A2E6" w14:textId="77777777" w:rsidR="00C5798D" w:rsidRPr="00CF78CE" w:rsidRDefault="00E3177E" w:rsidP="00C5798D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F23F44">
              <w:rPr>
                <w:rFonts w:ascii="Arial Unicode MS" w:hAnsi="Arial Unicode MS" w:hint="eastAsia"/>
                <w:color w:val="993300"/>
              </w:rPr>
              <w:t>制定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C5798D">
              <w:rPr>
                <w:rFonts w:ascii="Arial Unicode MS" w:hAnsi="Arial Unicode MS" w:hint="eastAsia"/>
                <w:color w:val="800000"/>
              </w:rPr>
              <w:t>民國</w:t>
            </w:r>
            <w:r w:rsidR="00C5798D">
              <w:rPr>
                <w:rFonts w:ascii="Arial Unicode MS" w:hAnsi="Arial Unicode MS"/>
                <w:color w:val="800000"/>
              </w:rPr>
              <w:t>114</w:t>
            </w:r>
            <w:r w:rsidR="00C5798D">
              <w:rPr>
                <w:rFonts w:ascii="Arial Unicode MS" w:hAnsi="Arial Unicode MS" w:hint="eastAsia"/>
                <w:color w:val="800000"/>
              </w:rPr>
              <w:t>年</w:t>
            </w:r>
            <w:r w:rsidR="00C5798D">
              <w:rPr>
                <w:rFonts w:ascii="Arial Unicode MS" w:hAnsi="Arial Unicode MS"/>
                <w:color w:val="800000"/>
              </w:rPr>
              <w:t>1</w:t>
            </w:r>
            <w:r w:rsidR="00C5798D">
              <w:rPr>
                <w:rFonts w:ascii="Arial Unicode MS" w:hAnsi="Arial Unicode MS" w:hint="eastAsia"/>
                <w:color w:val="800000"/>
              </w:rPr>
              <w:t>月</w:t>
            </w:r>
            <w:r w:rsidR="00C5798D">
              <w:rPr>
                <w:rFonts w:ascii="Arial Unicode MS" w:hAnsi="Arial Unicode MS" w:hint="eastAsia"/>
                <w:color w:val="800000"/>
              </w:rPr>
              <w:t>7</w:t>
            </w:r>
            <w:r w:rsidR="00C5798D">
              <w:rPr>
                <w:rFonts w:ascii="Arial Unicode MS" w:hAnsi="Arial Unicode MS" w:hint="eastAsia"/>
                <w:color w:val="800000"/>
              </w:rPr>
              <w:t>日</w:t>
            </w:r>
          </w:p>
          <w:p w14:paraId="5D81E17A" w14:textId="020B3FB4" w:rsidR="00A6011A" w:rsidRPr="003555EC" w:rsidRDefault="00C5798D" w:rsidP="00C5798D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CF78CE">
              <w:rPr>
                <w:rFonts w:ascii="Arial Unicode MS" w:hAnsi="Arial Unicode MS"/>
                <w:color w:val="990000"/>
              </w:rPr>
              <w:t>【</w:t>
            </w:r>
            <w:r w:rsidRPr="00CF78CE">
              <w:rPr>
                <w:rFonts w:ascii="Arial Unicode MS" w:hAnsi="Arial Unicode MS" w:hint="eastAsia"/>
                <w:color w:val="990000"/>
              </w:rPr>
              <w:t>公布日期</w:t>
            </w:r>
            <w:r w:rsidRPr="00CF78CE">
              <w:rPr>
                <w:rFonts w:ascii="Arial Unicode MS" w:hAnsi="Arial Unicode MS"/>
                <w:color w:val="990000"/>
              </w:rPr>
              <w:t>】</w:t>
            </w:r>
            <w:r>
              <w:rPr>
                <w:rFonts w:ascii="Arial Unicode MS" w:hAnsi="Arial Unicode MS" w:hint="eastAsia"/>
                <w:color w:val="800000"/>
              </w:rPr>
              <w:t>民國</w:t>
            </w:r>
            <w:r>
              <w:rPr>
                <w:rFonts w:ascii="Arial Unicode MS" w:hAnsi="Arial Unicode MS"/>
                <w:color w:val="800000"/>
              </w:rPr>
              <w:t>114</w:t>
            </w:r>
            <w:r>
              <w:rPr>
                <w:rFonts w:ascii="Arial Unicode MS" w:hAnsi="Arial Unicode MS" w:hint="eastAsia"/>
                <w:color w:val="800000"/>
              </w:rPr>
              <w:t>年</w:t>
            </w:r>
            <w:r>
              <w:rPr>
                <w:rFonts w:ascii="Arial Unicode MS" w:hAnsi="Arial Unicode MS"/>
                <w:color w:val="800000"/>
              </w:rPr>
              <w:t>1</w:t>
            </w:r>
            <w:r>
              <w:rPr>
                <w:rFonts w:ascii="Arial Unicode MS" w:hAnsi="Arial Unicode MS" w:hint="eastAsia"/>
                <w:color w:val="800000"/>
              </w:rPr>
              <w:t>月</w:t>
            </w:r>
            <w:r>
              <w:rPr>
                <w:rFonts w:ascii="Arial Unicode MS" w:hAnsi="Arial Unicode MS"/>
                <w:color w:val="800000"/>
              </w:rPr>
              <w:t>2</w:t>
            </w:r>
            <w:r>
              <w:rPr>
                <w:rFonts w:ascii="Arial Unicode MS" w:hAnsi="Arial Unicode MS" w:hint="eastAsia"/>
                <w:color w:val="800000"/>
              </w:rPr>
              <w:t>4</w:t>
            </w:r>
            <w:r>
              <w:rPr>
                <w:rFonts w:ascii="Arial Unicode MS" w:hAnsi="Arial Unicode MS" w:hint="eastAsia"/>
                <w:color w:val="800000"/>
              </w:rPr>
              <w:t>日</w:t>
            </w:r>
          </w:p>
        </w:tc>
      </w:tr>
    </w:tbl>
    <w:p w14:paraId="4602C5D6" w14:textId="27228093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2" w:anchor="國家運動產業發展中心設置條例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3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736C7D54" w14:textId="77777777" w:rsidR="00A6011A" w:rsidRPr="00C77D5E" w:rsidRDefault="00A6011A" w:rsidP="00C77D5E">
      <w:pPr>
        <w:pStyle w:val="1"/>
        <w:rPr>
          <w:color w:val="990000"/>
        </w:rPr>
      </w:pPr>
      <w:r w:rsidRPr="00C77D5E">
        <w:rPr>
          <w:color w:val="990000"/>
        </w:rPr>
        <w:t>【</w:t>
      </w:r>
      <w:r w:rsidRPr="00C77D5E">
        <w:rPr>
          <w:rFonts w:hint="eastAsia"/>
          <w:color w:val="990000"/>
        </w:rPr>
        <w:t>法規沿革</w:t>
      </w:r>
      <w:r w:rsidRPr="00C77D5E">
        <w:rPr>
          <w:color w:val="990000"/>
        </w:rPr>
        <w:t>】</w:t>
      </w:r>
    </w:p>
    <w:p w14:paraId="2410F082" w14:textId="53D45F64" w:rsidR="00A6011A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2F58A0" w:rsidRPr="002F58A0">
        <w:rPr>
          <w:rFonts w:ascii="Arial Unicode MS" w:hAnsi="Arial Unicode MS" w:hint="eastAsia"/>
          <w:bCs/>
          <w:color w:val="666699"/>
          <w:sz w:val="18"/>
        </w:rPr>
        <w:t>中華民國一百十四年一月二十四日總統華總一義字第</w:t>
      </w:r>
      <w:r w:rsidR="002F58A0" w:rsidRPr="002F58A0">
        <w:rPr>
          <w:rFonts w:ascii="Arial Unicode MS" w:hAnsi="Arial Unicode MS" w:hint="eastAsia"/>
          <w:bCs/>
          <w:color w:val="666699"/>
          <w:sz w:val="18"/>
        </w:rPr>
        <w:t>11400008921</w:t>
      </w:r>
      <w:r w:rsidR="002F58A0" w:rsidRPr="002F58A0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2F58A0" w:rsidRPr="002F58A0">
        <w:rPr>
          <w:rFonts w:ascii="Arial Unicode MS" w:hAnsi="Arial Unicode MS" w:hint="eastAsia"/>
          <w:bCs/>
          <w:color w:val="666699"/>
          <w:sz w:val="18"/>
        </w:rPr>
        <w:t>34</w:t>
      </w:r>
      <w:r w:rsidR="002F58A0" w:rsidRPr="002F58A0">
        <w:rPr>
          <w:rFonts w:ascii="Arial Unicode MS" w:hAnsi="Arial Unicode MS" w:hint="eastAsia"/>
          <w:bCs/>
          <w:color w:val="666699"/>
          <w:sz w:val="18"/>
        </w:rPr>
        <w:t>條；施行日期，由行政院定之</w:t>
      </w:r>
    </w:p>
    <w:p w14:paraId="5BAC68A4" w14:textId="0E19BC54" w:rsidR="00C953B4" w:rsidRPr="002F58A0" w:rsidRDefault="00C953B4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C953B4">
        <w:rPr>
          <w:rFonts w:ascii="Arial Unicode MS" w:hAnsi="Arial Unicode MS" w:hint="eastAsia"/>
          <w:bCs/>
          <w:color w:val="666699"/>
          <w:sz w:val="18"/>
        </w:rPr>
        <w:t xml:space="preserve">　中華民國一百十四年九月十九日行政院院授人組字第</w:t>
      </w:r>
      <w:r w:rsidRPr="00C953B4">
        <w:rPr>
          <w:rFonts w:ascii="Arial Unicode MS" w:hAnsi="Arial Unicode MS" w:hint="eastAsia"/>
          <w:bCs/>
          <w:color w:val="666699"/>
          <w:sz w:val="18"/>
        </w:rPr>
        <w:t>11420016761</w:t>
      </w:r>
      <w:r w:rsidRPr="00C953B4">
        <w:rPr>
          <w:rFonts w:ascii="Arial Unicode MS" w:hAnsi="Arial Unicode MS" w:hint="eastAsia"/>
          <w:bCs/>
          <w:color w:val="666699"/>
          <w:sz w:val="18"/>
        </w:rPr>
        <w:t>號令發布定自一百十四年十月一日施行</w:t>
      </w:r>
    </w:p>
    <w:p w14:paraId="38E781C5" w14:textId="77777777" w:rsidR="00845988" w:rsidRPr="00DC2214" w:rsidRDefault="00845988" w:rsidP="00DC2214"/>
    <w:p w14:paraId="246A348A" w14:textId="77777777" w:rsidR="00845988" w:rsidRPr="00C77D5E" w:rsidRDefault="00845988" w:rsidP="00C77D5E">
      <w:pPr>
        <w:pStyle w:val="1"/>
        <w:rPr>
          <w:color w:val="990000"/>
        </w:rPr>
      </w:pPr>
      <w:bookmarkStart w:id="1" w:name="a章節索引"/>
      <w:bookmarkEnd w:id="1"/>
      <w:r w:rsidRPr="00C77D5E">
        <w:rPr>
          <w:color w:val="990000"/>
        </w:rPr>
        <w:t>【</w:t>
      </w:r>
      <w:r w:rsidRPr="00C77D5E">
        <w:rPr>
          <w:rFonts w:hint="eastAsia"/>
          <w:color w:val="990000"/>
        </w:rPr>
        <w:t>章節索引</w:t>
      </w:r>
      <w:r w:rsidRPr="00C77D5E">
        <w:rPr>
          <w:color w:val="990000"/>
        </w:rPr>
        <w:t>】</w:t>
      </w:r>
    </w:p>
    <w:p w14:paraId="3E68BC8C" w14:textId="37258570" w:rsidR="002F58A0" w:rsidRPr="002F58A0" w:rsidRDefault="002F58A0" w:rsidP="002F58A0">
      <w:pPr>
        <w:ind w:leftChars="59" w:left="118"/>
        <w:rPr>
          <w:rFonts w:ascii="Arial Unicode MS" w:hAnsi="Arial Unicode MS"/>
          <w:color w:val="990000"/>
        </w:rPr>
      </w:pPr>
      <w:r w:rsidRPr="002F58A0">
        <w:rPr>
          <w:rFonts w:ascii="Arial Unicode MS" w:hAnsi="Arial Unicode MS" w:hint="eastAsia"/>
          <w:color w:val="990000"/>
        </w:rPr>
        <w:t xml:space="preserve">第一章　</w:t>
      </w:r>
      <w:hyperlink w:anchor="_第一章__總" w:history="1">
        <w:r w:rsidRPr="00C77D5E">
          <w:rPr>
            <w:rStyle w:val="a3"/>
            <w:rFonts w:ascii="Arial Unicode MS" w:hAnsi="Arial Unicode MS" w:hint="eastAsia"/>
          </w:rPr>
          <w:t>總則</w:t>
        </w:r>
      </w:hyperlink>
      <w:r w:rsidRPr="002F58A0">
        <w:rPr>
          <w:rFonts w:ascii="Arial Unicode MS" w:hAnsi="Arial Unicode MS" w:hint="eastAsia"/>
          <w:color w:val="990000"/>
        </w:rPr>
        <w:t xml:space="preserve">　§</w:t>
      </w:r>
      <w:r w:rsidRPr="002F58A0">
        <w:rPr>
          <w:rFonts w:ascii="Arial Unicode MS" w:hAnsi="Arial Unicode MS" w:hint="eastAsia"/>
          <w:color w:val="990000"/>
        </w:rPr>
        <w:t>1</w:t>
      </w:r>
    </w:p>
    <w:p w14:paraId="53161DDA" w14:textId="6E6B0B4F" w:rsidR="002F58A0" w:rsidRPr="002F58A0" w:rsidRDefault="002F58A0" w:rsidP="002F58A0">
      <w:pPr>
        <w:ind w:leftChars="59" w:left="118"/>
        <w:rPr>
          <w:rFonts w:ascii="Arial Unicode MS" w:hAnsi="Arial Unicode MS"/>
          <w:color w:val="990000"/>
        </w:rPr>
      </w:pPr>
      <w:r w:rsidRPr="002F58A0">
        <w:rPr>
          <w:rFonts w:ascii="Arial Unicode MS" w:hAnsi="Arial Unicode MS" w:hint="eastAsia"/>
          <w:color w:val="990000"/>
        </w:rPr>
        <w:t xml:space="preserve">第二章　</w:t>
      </w:r>
      <w:hyperlink w:anchor="_第二章__組織" w:history="1">
        <w:r w:rsidRPr="00C77D5E">
          <w:rPr>
            <w:rStyle w:val="a3"/>
            <w:rFonts w:ascii="Arial Unicode MS" w:hAnsi="Arial Unicode MS" w:hint="eastAsia"/>
          </w:rPr>
          <w:t>組織</w:t>
        </w:r>
      </w:hyperlink>
      <w:r w:rsidRPr="002F58A0">
        <w:rPr>
          <w:rFonts w:ascii="Arial Unicode MS" w:hAnsi="Arial Unicode MS" w:hint="eastAsia"/>
          <w:color w:val="990000"/>
        </w:rPr>
        <w:t xml:space="preserve">　§</w:t>
      </w:r>
      <w:r w:rsidRPr="002F58A0">
        <w:rPr>
          <w:rFonts w:ascii="Arial Unicode MS" w:hAnsi="Arial Unicode MS" w:hint="eastAsia"/>
          <w:color w:val="990000"/>
        </w:rPr>
        <w:t>6</w:t>
      </w:r>
    </w:p>
    <w:p w14:paraId="1284099E" w14:textId="632171EF" w:rsidR="002F58A0" w:rsidRPr="002F58A0" w:rsidRDefault="002F58A0" w:rsidP="002F58A0">
      <w:pPr>
        <w:ind w:leftChars="59" w:left="118"/>
        <w:rPr>
          <w:rFonts w:ascii="Arial Unicode MS" w:hAnsi="Arial Unicode MS"/>
          <w:color w:val="990000"/>
        </w:rPr>
      </w:pPr>
      <w:r w:rsidRPr="002F58A0">
        <w:rPr>
          <w:rFonts w:ascii="Arial Unicode MS" w:hAnsi="Arial Unicode MS" w:hint="eastAsia"/>
          <w:color w:val="990000"/>
        </w:rPr>
        <w:t xml:space="preserve">第三章　</w:t>
      </w:r>
      <w:hyperlink w:anchor="_第三章__業務及監督" w:history="1">
        <w:r w:rsidRPr="00C77D5E">
          <w:rPr>
            <w:rStyle w:val="a3"/>
            <w:rFonts w:ascii="Arial Unicode MS" w:hAnsi="Arial Unicode MS" w:hint="eastAsia"/>
          </w:rPr>
          <w:t>業務及監督</w:t>
        </w:r>
      </w:hyperlink>
      <w:r w:rsidRPr="002F58A0">
        <w:rPr>
          <w:rFonts w:ascii="Arial Unicode MS" w:hAnsi="Arial Unicode MS" w:hint="eastAsia"/>
          <w:color w:val="990000"/>
        </w:rPr>
        <w:t xml:space="preserve">　§</w:t>
      </w:r>
      <w:r w:rsidRPr="002F58A0">
        <w:rPr>
          <w:rFonts w:ascii="Arial Unicode MS" w:hAnsi="Arial Unicode MS" w:hint="eastAsia"/>
          <w:color w:val="990000"/>
        </w:rPr>
        <w:t>21</w:t>
      </w:r>
    </w:p>
    <w:p w14:paraId="6E71A892" w14:textId="0512021F" w:rsidR="002F58A0" w:rsidRPr="002F58A0" w:rsidRDefault="002F58A0" w:rsidP="002F58A0">
      <w:pPr>
        <w:ind w:leftChars="59" w:left="118"/>
        <w:rPr>
          <w:rFonts w:ascii="Arial Unicode MS" w:hAnsi="Arial Unicode MS"/>
          <w:color w:val="990000"/>
        </w:rPr>
      </w:pPr>
      <w:r w:rsidRPr="002F58A0">
        <w:rPr>
          <w:rFonts w:ascii="Arial Unicode MS" w:hAnsi="Arial Unicode MS" w:hint="eastAsia"/>
          <w:color w:val="990000"/>
        </w:rPr>
        <w:t xml:space="preserve">第四章　</w:t>
      </w:r>
      <w:hyperlink w:anchor="_第四章__會計及財務" w:history="1">
        <w:r w:rsidRPr="00C77D5E">
          <w:rPr>
            <w:rStyle w:val="a3"/>
            <w:rFonts w:ascii="Arial Unicode MS" w:hAnsi="Arial Unicode MS" w:hint="eastAsia"/>
          </w:rPr>
          <w:t>會計及財務</w:t>
        </w:r>
      </w:hyperlink>
      <w:r w:rsidRPr="002F58A0">
        <w:rPr>
          <w:rFonts w:ascii="Arial Unicode MS" w:hAnsi="Arial Unicode MS" w:hint="eastAsia"/>
          <w:color w:val="990000"/>
        </w:rPr>
        <w:t xml:space="preserve">　§</w:t>
      </w:r>
      <w:r w:rsidRPr="002F58A0">
        <w:rPr>
          <w:rFonts w:ascii="Arial Unicode MS" w:hAnsi="Arial Unicode MS" w:hint="eastAsia"/>
          <w:color w:val="990000"/>
        </w:rPr>
        <w:t>24</w:t>
      </w:r>
    </w:p>
    <w:p w14:paraId="5ADCC457" w14:textId="1018CFF7" w:rsidR="005A3BDD" w:rsidRPr="003555EC" w:rsidRDefault="002F58A0" w:rsidP="00C77D5E">
      <w:pPr>
        <w:ind w:leftChars="59" w:left="118"/>
        <w:rPr>
          <w:rFonts w:ascii="Arial Unicode MS" w:hAnsi="Arial Unicode MS" w:cs="細明體"/>
          <w:color w:val="666699"/>
        </w:rPr>
      </w:pPr>
      <w:r w:rsidRPr="002F58A0">
        <w:rPr>
          <w:rFonts w:ascii="Arial Unicode MS" w:hAnsi="Arial Unicode MS" w:hint="eastAsia"/>
          <w:color w:val="990000"/>
        </w:rPr>
        <w:t xml:space="preserve">第五章　</w:t>
      </w:r>
      <w:hyperlink w:anchor="_第五章__附則" w:history="1">
        <w:r w:rsidRPr="00C77D5E">
          <w:rPr>
            <w:rStyle w:val="a3"/>
            <w:rFonts w:ascii="Arial Unicode MS" w:hAnsi="Arial Unicode MS" w:hint="eastAsia"/>
          </w:rPr>
          <w:t>附則</w:t>
        </w:r>
      </w:hyperlink>
      <w:r w:rsidRPr="002F58A0">
        <w:rPr>
          <w:rFonts w:ascii="Arial Unicode MS" w:hAnsi="Arial Unicode MS" w:hint="eastAsia"/>
          <w:color w:val="990000"/>
        </w:rPr>
        <w:t xml:space="preserve">　§</w:t>
      </w:r>
      <w:r w:rsidRPr="002F58A0">
        <w:rPr>
          <w:rFonts w:ascii="Arial Unicode MS" w:hAnsi="Arial Unicode MS" w:hint="eastAsia"/>
          <w:color w:val="990000"/>
        </w:rPr>
        <w:t>32</w:t>
      </w:r>
    </w:p>
    <w:p w14:paraId="626521DC" w14:textId="77777777" w:rsidR="00845988" w:rsidRPr="003555EC" w:rsidRDefault="00845988" w:rsidP="0099154E">
      <w:pPr>
        <w:ind w:leftChars="75" w:left="150"/>
        <w:jc w:val="both"/>
        <w:rPr>
          <w:rFonts w:ascii="Arial Unicode MS" w:hAnsi="Arial Unicode MS"/>
          <w:b/>
          <w:bCs/>
          <w:color w:val="800000"/>
        </w:rPr>
      </w:pPr>
    </w:p>
    <w:p w14:paraId="5CD0D01C" w14:textId="7925DF83" w:rsidR="00A6011A" w:rsidRPr="00C77D5E" w:rsidRDefault="00E66A96" w:rsidP="00C77D5E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51CC9E2F" w14:textId="77777777" w:rsidR="00C83397" w:rsidRPr="00AF2E81" w:rsidRDefault="00C83397" w:rsidP="00C77D5E">
      <w:pPr>
        <w:pStyle w:val="1"/>
      </w:pPr>
      <w:bookmarkStart w:id="2" w:name="_第一章__總"/>
      <w:bookmarkEnd w:id="2"/>
      <w:r w:rsidRPr="00AF2E81">
        <w:rPr>
          <w:rFonts w:hint="eastAsia"/>
        </w:rPr>
        <w:t>第一章　　總　則</w:t>
      </w:r>
    </w:p>
    <w:p w14:paraId="63AC9D5A" w14:textId="77777777" w:rsidR="00E66A96" w:rsidRDefault="00C77D5E" w:rsidP="00C77D5E">
      <w:pPr>
        <w:pStyle w:val="2"/>
      </w:pPr>
      <w:bookmarkStart w:id="3" w:name="a1"/>
      <w:bookmarkEnd w:id="3"/>
      <w:r w:rsidRPr="00E75A72">
        <w:t>第</w:t>
      </w:r>
      <w:r w:rsidRPr="00E75A72">
        <w:t>1</w:t>
      </w:r>
      <w:r w:rsidR="00E66A96">
        <w:t>條</w:t>
      </w:r>
    </w:p>
    <w:p w14:paraId="108191B8" w14:textId="48720E66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為建構優質運動產業環境，促進運動產業發展，特設國家運動產業發展中心（以下簡稱本中心），並制定本條例。</w:t>
      </w:r>
    </w:p>
    <w:p w14:paraId="6CC50020" w14:textId="77777777" w:rsidR="00E66A96" w:rsidRDefault="00C77D5E" w:rsidP="00C77D5E">
      <w:pPr>
        <w:pStyle w:val="2"/>
      </w:pPr>
      <w:bookmarkStart w:id="4" w:name="a2"/>
      <w:bookmarkEnd w:id="4"/>
      <w:r w:rsidRPr="00E75A72">
        <w:t>第</w:t>
      </w:r>
      <w:r w:rsidRPr="00E75A72">
        <w:t>2</w:t>
      </w:r>
      <w:r w:rsidR="00E66A96">
        <w:t>條</w:t>
      </w:r>
    </w:p>
    <w:p w14:paraId="404AFDEF" w14:textId="2B9B20BE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本中心為行政法人；其監督機關為運動部。</w:t>
      </w:r>
    </w:p>
    <w:p w14:paraId="54132727" w14:textId="77777777" w:rsidR="00E66A96" w:rsidRDefault="00C77D5E" w:rsidP="00C77D5E">
      <w:pPr>
        <w:pStyle w:val="2"/>
      </w:pPr>
      <w:bookmarkStart w:id="5" w:name="a3"/>
      <w:bookmarkEnd w:id="5"/>
      <w:r w:rsidRPr="00E75A72">
        <w:t>第</w:t>
      </w:r>
      <w:r w:rsidRPr="00E75A72">
        <w:t>3</w:t>
      </w:r>
      <w:r w:rsidR="00E66A96">
        <w:t>條</w:t>
      </w:r>
    </w:p>
    <w:p w14:paraId="510A034C" w14:textId="3AB28908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本中心之業務範圍如下：</w:t>
      </w:r>
    </w:p>
    <w:p w14:paraId="2E569A7D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一、運動產業之調查、統計及研究發展</w:t>
      </w:r>
      <w:r w:rsidR="00E66A96">
        <w:rPr>
          <w:color w:val="17365D"/>
        </w:rPr>
        <w:t>。</w:t>
      </w:r>
    </w:p>
    <w:p w14:paraId="1DC808AA" w14:textId="2FDA598D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運動產業專業人才之培育與媒合及國際交流</w:t>
      </w:r>
      <w:r>
        <w:rPr>
          <w:color w:val="17365D"/>
        </w:rPr>
        <w:t>。</w:t>
      </w:r>
    </w:p>
    <w:p w14:paraId="7206F4AC" w14:textId="18738F1B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運動產業營運與投融資之輔導、諮詢及協助</w:t>
      </w:r>
      <w:r>
        <w:rPr>
          <w:color w:val="17365D"/>
        </w:rPr>
        <w:t>。</w:t>
      </w:r>
    </w:p>
    <w:p w14:paraId="19188A72" w14:textId="1D58B96D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運動產業資產之規劃、建置、治理及運用</w:t>
      </w:r>
      <w:r>
        <w:rPr>
          <w:color w:val="17365D"/>
        </w:rPr>
        <w:t>。</w:t>
      </w:r>
    </w:p>
    <w:p w14:paraId="74A0CB92" w14:textId="01A54D99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五</w:t>
      </w:r>
      <w:r>
        <w:rPr>
          <w:color w:val="17365D"/>
        </w:rPr>
        <w:t>、</w:t>
      </w:r>
      <w:r w:rsidR="00C77D5E" w:rsidRPr="00E75A72">
        <w:rPr>
          <w:color w:val="17365D"/>
        </w:rPr>
        <w:t>運動產品或服務之加值運用與市場拓展及商業模式之營運管理</w:t>
      </w:r>
      <w:r>
        <w:rPr>
          <w:color w:val="17365D"/>
        </w:rPr>
        <w:t>。</w:t>
      </w:r>
    </w:p>
    <w:p w14:paraId="272E42F3" w14:textId="7043F573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六</w:t>
      </w:r>
      <w:r>
        <w:rPr>
          <w:color w:val="17365D"/>
        </w:rPr>
        <w:t>、</w:t>
      </w:r>
      <w:r w:rsidR="00C77D5E" w:rsidRPr="00E75A72">
        <w:rPr>
          <w:color w:val="17365D"/>
        </w:rPr>
        <w:t>公有、私有運動場域與學校場地開放及社區運動俱樂部設置之輔導</w:t>
      </w:r>
      <w:r>
        <w:rPr>
          <w:color w:val="17365D"/>
        </w:rPr>
        <w:t>。</w:t>
      </w:r>
    </w:p>
    <w:p w14:paraId="5E973054" w14:textId="6BEA6AB4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七</w:t>
      </w:r>
      <w:r>
        <w:rPr>
          <w:color w:val="17365D"/>
        </w:rPr>
        <w:t>、</w:t>
      </w:r>
      <w:r w:rsidR="00C77D5E" w:rsidRPr="00E75A72">
        <w:rPr>
          <w:color w:val="17365D"/>
        </w:rPr>
        <w:t>競技運動全民化與全民運動產業化之推動及輔導</w:t>
      </w:r>
      <w:r>
        <w:rPr>
          <w:color w:val="17365D"/>
        </w:rPr>
        <w:t>。</w:t>
      </w:r>
    </w:p>
    <w:p w14:paraId="4B1957B2" w14:textId="42CC4421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八</w:t>
      </w:r>
      <w:r>
        <w:rPr>
          <w:color w:val="17365D"/>
        </w:rPr>
        <w:t>、</w:t>
      </w:r>
      <w:r w:rsidR="00C77D5E" w:rsidRPr="00E75A72">
        <w:rPr>
          <w:color w:val="17365D"/>
        </w:rPr>
        <w:t>運動賽事產業化、傳播、行銷規劃與平臺建立之諮詢及協助</w:t>
      </w:r>
      <w:r>
        <w:rPr>
          <w:color w:val="17365D"/>
        </w:rPr>
        <w:t>。</w:t>
      </w:r>
    </w:p>
    <w:p w14:paraId="10CDE749" w14:textId="585EBE6F" w:rsidR="00C77D5E" w:rsidRPr="00E75A72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九</w:t>
      </w:r>
      <w:r>
        <w:rPr>
          <w:color w:val="17365D"/>
        </w:rPr>
        <w:t>、</w:t>
      </w:r>
      <w:r w:rsidR="00C77D5E" w:rsidRPr="00E75A72">
        <w:rPr>
          <w:color w:val="17365D"/>
        </w:rPr>
        <w:t>其他與運動產業相關之業務。</w:t>
      </w:r>
    </w:p>
    <w:p w14:paraId="68DB4C76" w14:textId="77777777" w:rsidR="00E66A96" w:rsidRDefault="00C77D5E" w:rsidP="00C77D5E">
      <w:pPr>
        <w:pStyle w:val="2"/>
      </w:pPr>
      <w:bookmarkStart w:id="6" w:name="a4"/>
      <w:bookmarkEnd w:id="6"/>
      <w:r w:rsidRPr="00E75A72">
        <w:t>第</w:t>
      </w:r>
      <w:r w:rsidRPr="00E75A72">
        <w:t>4</w:t>
      </w:r>
      <w:r w:rsidR="00E66A96">
        <w:t>條</w:t>
      </w:r>
    </w:p>
    <w:p w14:paraId="03CBD754" w14:textId="21E857DA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本中心經費來源如下：</w:t>
      </w:r>
    </w:p>
    <w:p w14:paraId="3D5572E2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lastRenderedPageBreak/>
        <w:t xml:space="preserve">　　一、運動發展基金所獲運動彩券發行盈餘或其他政府預算之核撥及捐（補）助</w:t>
      </w:r>
      <w:r w:rsidR="00E66A96">
        <w:rPr>
          <w:color w:val="17365D"/>
        </w:rPr>
        <w:t>。</w:t>
      </w:r>
    </w:p>
    <w:p w14:paraId="70F56A89" w14:textId="127871D4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國內外公私立機構、團體及個人之捐贈</w:t>
      </w:r>
      <w:r>
        <w:rPr>
          <w:color w:val="17365D"/>
        </w:rPr>
        <w:t>。</w:t>
      </w:r>
    </w:p>
    <w:p w14:paraId="42FFC584" w14:textId="4E0D660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受託研究及提供服務之收入</w:t>
      </w:r>
      <w:r>
        <w:rPr>
          <w:color w:val="17365D"/>
        </w:rPr>
        <w:t>。</w:t>
      </w:r>
    </w:p>
    <w:p w14:paraId="74D0C3EB" w14:textId="0671FE0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其他收入</w:t>
      </w:r>
      <w:r>
        <w:rPr>
          <w:color w:val="17365D"/>
        </w:rPr>
        <w:t>。</w:t>
      </w:r>
    </w:p>
    <w:p w14:paraId="4F69B77D" w14:textId="4C0B55CE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前項第二款之捐贈，視同對政府之捐贈。</w:t>
      </w:r>
    </w:p>
    <w:p w14:paraId="2EDA86E1" w14:textId="77777777" w:rsidR="00E66A96" w:rsidRDefault="00C77D5E" w:rsidP="00C77D5E">
      <w:pPr>
        <w:pStyle w:val="2"/>
      </w:pPr>
      <w:bookmarkStart w:id="7" w:name="a5"/>
      <w:bookmarkEnd w:id="7"/>
      <w:r w:rsidRPr="00E75A72">
        <w:t>第</w:t>
      </w:r>
      <w:r w:rsidRPr="00E75A72">
        <w:t>5</w:t>
      </w:r>
      <w:r w:rsidR="00E66A96">
        <w:t>條</w:t>
      </w:r>
    </w:p>
    <w:p w14:paraId="2928B144" w14:textId="751092BE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本中心應訂定組織章程、人事管理、會計制度、內部控制、稽核作業及其他規章，提經董事會通過後，報請監督機關備查</w:t>
      </w:r>
      <w:r>
        <w:rPr>
          <w:color w:val="17365D"/>
        </w:rPr>
        <w:t>。</w:t>
      </w:r>
    </w:p>
    <w:p w14:paraId="2B9603F3" w14:textId="31234546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本中心就執行之公共事務，在不牴觸有關法律或法規命令之範圍內，得訂定規章，並提經董事會通過後，報請監督機關備查</w:t>
      </w:r>
      <w:r>
        <w:rPr>
          <w:color w:val="17365D"/>
        </w:rPr>
        <w:t>。</w:t>
      </w:r>
    </w:p>
    <w:p w14:paraId="70979FD3" w14:textId="45029DA2" w:rsidR="00C77D5E" w:rsidRPr="00E75A72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C77D5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</w:t>
      </w:r>
      <w:hyperlink w:anchor="a章節索引" w:history="1">
        <w:r w:rsidR="00C77D5E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77D5E">
        <w:rPr>
          <w:rFonts w:ascii="Arial Unicode MS" w:hAnsi="Arial Unicode MS" w:hint="eastAsia"/>
          <w:color w:val="808000"/>
          <w:sz w:val="18"/>
        </w:rPr>
        <w:t>〉〉</w:t>
      </w:r>
    </w:p>
    <w:p w14:paraId="4CB4C4C2" w14:textId="77777777" w:rsidR="00C77D5E" w:rsidRPr="00C77D5E" w:rsidRDefault="00C77D5E" w:rsidP="00C77D5E">
      <w:pPr>
        <w:pStyle w:val="1"/>
      </w:pPr>
      <w:bookmarkStart w:id="8" w:name="_第二章__組織"/>
      <w:bookmarkEnd w:id="8"/>
      <w:r w:rsidRPr="00C77D5E">
        <w:t>第二章　　組織</w:t>
      </w:r>
    </w:p>
    <w:p w14:paraId="70AE8B48" w14:textId="77777777" w:rsidR="00E66A96" w:rsidRDefault="00C77D5E" w:rsidP="00C77D5E">
      <w:pPr>
        <w:pStyle w:val="2"/>
      </w:pPr>
      <w:bookmarkStart w:id="9" w:name="a6"/>
      <w:bookmarkEnd w:id="9"/>
      <w:r w:rsidRPr="00E75A72">
        <w:t>第</w:t>
      </w:r>
      <w:r w:rsidRPr="00E75A72">
        <w:t>6</w:t>
      </w:r>
      <w:r w:rsidR="00E66A96">
        <w:t>條</w:t>
      </w:r>
    </w:p>
    <w:p w14:paraId="1D4B319C" w14:textId="7EE2417E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本中心設董事會，置董事十一人至十五人，由監督機關就下列人員遴選提請行政院院長聘任之；解聘時，亦同：</w:t>
      </w:r>
    </w:p>
    <w:p w14:paraId="2E50AC0F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一、政府相關機關代表</w:t>
      </w:r>
      <w:r w:rsidR="00E66A96">
        <w:rPr>
          <w:color w:val="17365D"/>
        </w:rPr>
        <w:t>。</w:t>
      </w:r>
    </w:p>
    <w:p w14:paraId="74339DE6" w14:textId="6C193925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與運動產業相關之學者、專家</w:t>
      </w:r>
      <w:r>
        <w:rPr>
          <w:color w:val="17365D"/>
        </w:rPr>
        <w:t>。</w:t>
      </w:r>
    </w:p>
    <w:p w14:paraId="543131E8" w14:textId="536B6F5E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民間企業經營、管理專家及對國家體育運動有重大貢獻之社會人士</w:t>
      </w:r>
      <w:r>
        <w:rPr>
          <w:color w:val="17365D"/>
        </w:rPr>
        <w:t>。</w:t>
      </w:r>
    </w:p>
    <w:p w14:paraId="3C0268D6" w14:textId="56DB1081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前項第一款之董事，不得逾董事總人數三分之一；第二款之董事，不得少於董事總人數二分之一</w:t>
      </w:r>
      <w:r>
        <w:rPr>
          <w:color w:val="17365D"/>
        </w:rPr>
        <w:t>。</w:t>
      </w:r>
    </w:p>
    <w:p w14:paraId="43824453" w14:textId="1ADDA128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第一項董事，任一性別不得少於董事總人數三分之一。</w:t>
      </w:r>
    </w:p>
    <w:p w14:paraId="5CD9A2FB" w14:textId="77777777" w:rsidR="00E66A96" w:rsidRDefault="00C77D5E" w:rsidP="00C77D5E">
      <w:pPr>
        <w:pStyle w:val="2"/>
      </w:pPr>
      <w:bookmarkStart w:id="10" w:name="a7"/>
      <w:bookmarkEnd w:id="10"/>
      <w:r w:rsidRPr="00E75A72">
        <w:t>第</w:t>
      </w:r>
      <w:r w:rsidRPr="00E75A72">
        <w:t>7</w:t>
      </w:r>
      <w:r w:rsidR="00E66A96">
        <w:t>條</w:t>
      </w:r>
    </w:p>
    <w:p w14:paraId="08F19C6C" w14:textId="12995E0F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本中心置監事三人，由監督機關就具運動產業、法律或會計等相關學識經驗者遴選，提請行政院院長聘任之；解聘時，亦同</w:t>
      </w:r>
      <w:r>
        <w:rPr>
          <w:color w:val="17365D"/>
        </w:rPr>
        <w:t>。</w:t>
      </w:r>
    </w:p>
    <w:p w14:paraId="183059EC" w14:textId="20521724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監事應互選一人為常務監事</w:t>
      </w:r>
      <w:r>
        <w:rPr>
          <w:color w:val="17365D"/>
        </w:rPr>
        <w:t>。</w:t>
      </w:r>
    </w:p>
    <w:p w14:paraId="221A91F8" w14:textId="45CAB3B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第一項監事，任一性別不得少於監事總人數三分之一。</w:t>
      </w:r>
    </w:p>
    <w:p w14:paraId="6CCD7860" w14:textId="77777777" w:rsidR="00E66A96" w:rsidRDefault="00C77D5E" w:rsidP="00C77D5E">
      <w:pPr>
        <w:pStyle w:val="2"/>
      </w:pPr>
      <w:bookmarkStart w:id="11" w:name="a8"/>
      <w:bookmarkEnd w:id="11"/>
      <w:r w:rsidRPr="00E75A72">
        <w:t>第</w:t>
      </w:r>
      <w:r w:rsidRPr="00E75A72">
        <w:t>8</w:t>
      </w:r>
      <w:r w:rsidR="00E66A96">
        <w:t>條</w:t>
      </w:r>
    </w:p>
    <w:p w14:paraId="3D7FAF2C" w14:textId="5986420D" w:rsidR="00E66A96" w:rsidRDefault="00F47A0D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t>、</w:t>
      </w:r>
      <w:r w:rsidR="00C77D5E" w:rsidRPr="00E75A72">
        <w:rPr>
          <w:color w:val="17365D"/>
        </w:rPr>
        <w:t>監事任期為四年，期滿得續聘之。但續聘人數不得逾總人數三分之二，不得少於三分之一</w:t>
      </w:r>
      <w:r w:rsidR="00E66A96">
        <w:rPr>
          <w:color w:val="17365D"/>
        </w:rPr>
        <w:t>。</w:t>
      </w:r>
    </w:p>
    <w:p w14:paraId="404DDDCA" w14:textId="53BFCEE3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代表政府機關出任之董事，應依其職務異動改聘；依</w:t>
      </w:r>
      <w:hyperlink w:anchor="a6" w:history="1">
        <w:r w:rsidR="00C77D5E" w:rsidRPr="00501460">
          <w:rPr>
            <w:rStyle w:val="a3"/>
            <w:rFonts w:ascii="Times New Roman" w:hAnsi="Times New Roman"/>
          </w:rPr>
          <w:t>第六條</w:t>
        </w:r>
      </w:hyperlink>
      <w:r w:rsidR="00C77D5E" w:rsidRPr="00E75A72">
        <w:rPr>
          <w:color w:val="17365D"/>
        </w:rPr>
        <w:t>第一項第二款、第三款及前條第一項聘任之董事、監事，任期屆滿前出缺者，由監督機關遴選提請行政院院長補聘之，其任期至原任者任期屆滿時為止。</w:t>
      </w:r>
    </w:p>
    <w:p w14:paraId="5E0FDA7F" w14:textId="77777777" w:rsidR="00E66A96" w:rsidRDefault="00C77D5E" w:rsidP="00C77D5E">
      <w:pPr>
        <w:pStyle w:val="2"/>
      </w:pPr>
      <w:bookmarkStart w:id="12" w:name="a9"/>
      <w:bookmarkEnd w:id="12"/>
      <w:r w:rsidRPr="00E75A72">
        <w:t>第</w:t>
      </w:r>
      <w:r w:rsidRPr="00E75A72">
        <w:t>9</w:t>
      </w:r>
      <w:r w:rsidR="00E66A96">
        <w:t>條</w:t>
      </w:r>
    </w:p>
    <w:p w14:paraId="3CBC2358" w14:textId="321C9164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有下列情事之一者，不得聘任為董事、監事：</w:t>
      </w:r>
    </w:p>
    <w:p w14:paraId="7AB77851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一、受監護宣告或輔助宣告尚未撤銷</w:t>
      </w:r>
      <w:r w:rsidR="00E66A96">
        <w:rPr>
          <w:color w:val="17365D"/>
        </w:rPr>
        <w:t>。</w:t>
      </w:r>
    </w:p>
    <w:p w14:paraId="368A75FB" w14:textId="3415B60F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受有期徒刑以上刑之判決確定，而未受緩刑之宣告</w:t>
      </w:r>
      <w:r>
        <w:rPr>
          <w:color w:val="17365D"/>
        </w:rPr>
        <w:t>。</w:t>
      </w:r>
    </w:p>
    <w:p w14:paraId="04BE9837" w14:textId="15E689CC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受破產宣告或依</w:t>
      </w:r>
      <w:hyperlink r:id="rId14" w:history="1">
        <w:r w:rsidR="00C77D5E" w:rsidRPr="00525129">
          <w:rPr>
            <w:rStyle w:val="a3"/>
            <w:rFonts w:ascii="Times New Roman" w:hAnsi="Times New Roman"/>
          </w:rPr>
          <w:t>消費者債務清理條例</w:t>
        </w:r>
      </w:hyperlink>
      <w:r w:rsidR="00C77D5E" w:rsidRPr="00E75A72">
        <w:rPr>
          <w:color w:val="17365D"/>
        </w:rPr>
        <w:t>經法院裁定開始清算程序，尚未復權</w:t>
      </w:r>
      <w:r>
        <w:rPr>
          <w:color w:val="17365D"/>
        </w:rPr>
        <w:t>。</w:t>
      </w:r>
    </w:p>
    <w:p w14:paraId="6E947040" w14:textId="57FC1520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褫奪公權尚未復權</w:t>
      </w:r>
      <w:r>
        <w:rPr>
          <w:color w:val="17365D"/>
        </w:rPr>
        <w:t>。</w:t>
      </w:r>
    </w:p>
    <w:p w14:paraId="0617D95C" w14:textId="74792774" w:rsidR="00E66A96" w:rsidRDefault="00F47A0D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rPr>
          <w:color w:val="17365D"/>
        </w:rPr>
        <w:t>、</w:t>
      </w:r>
      <w:r w:rsidR="00C77D5E" w:rsidRPr="00E75A72">
        <w:rPr>
          <w:color w:val="17365D"/>
        </w:rPr>
        <w:t>監事有前項情形之一或無故連續不出席、不列席董事會會議達三次者，應予解聘</w:t>
      </w:r>
      <w:r w:rsidR="00E66A96">
        <w:rPr>
          <w:color w:val="17365D"/>
        </w:rPr>
        <w:t>。</w:t>
      </w:r>
    </w:p>
    <w:p w14:paraId="7189B877" w14:textId="741BEBFD" w:rsidR="00C77D5E" w:rsidRPr="00E75A72" w:rsidRDefault="00F47A0D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rPr>
          <w:color w:val="17365D"/>
        </w:rPr>
        <w:t>、</w:t>
      </w:r>
      <w:r w:rsidR="00C77D5E" w:rsidRPr="00E75A72">
        <w:rPr>
          <w:color w:val="17365D"/>
        </w:rPr>
        <w:t>監事有下列各款情事之一者，得予解聘：</w:t>
      </w:r>
    </w:p>
    <w:p w14:paraId="2F703416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一、行為不檢或品行不端，致影響本中心形象，有確實證據</w:t>
      </w:r>
      <w:r w:rsidR="00E66A96">
        <w:rPr>
          <w:color w:val="17365D"/>
        </w:rPr>
        <w:t>。</w:t>
      </w:r>
    </w:p>
    <w:p w14:paraId="388D2345" w14:textId="439ABEFA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工作執行不力或怠忽職責，有具體事實或違反聘約情節重大</w:t>
      </w:r>
      <w:r>
        <w:rPr>
          <w:color w:val="17365D"/>
        </w:rPr>
        <w:t>。</w:t>
      </w:r>
    </w:p>
    <w:p w14:paraId="20588E31" w14:textId="2F7867E6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當屆之本中心年度績效評鑑連續二年未達監督機關所定標準</w:t>
      </w:r>
      <w:r>
        <w:rPr>
          <w:color w:val="17365D"/>
        </w:rPr>
        <w:t>。</w:t>
      </w:r>
    </w:p>
    <w:p w14:paraId="4D3DD070" w14:textId="46117821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違反</w:t>
      </w:r>
      <w:hyperlink r:id="rId15" w:history="1">
        <w:r w:rsidR="00C77D5E" w:rsidRPr="00E43507">
          <w:rPr>
            <w:rStyle w:val="a3"/>
            <w:rFonts w:ascii="Times New Roman" w:hAnsi="Times New Roman"/>
          </w:rPr>
          <w:t>公務人員行政中立法</w:t>
        </w:r>
      </w:hyperlink>
      <w:r w:rsidR="00C77D5E" w:rsidRPr="00E75A72">
        <w:rPr>
          <w:color w:val="17365D"/>
        </w:rPr>
        <w:t>之情事，有確實證據</w:t>
      </w:r>
      <w:r>
        <w:rPr>
          <w:color w:val="17365D"/>
        </w:rPr>
        <w:t>。</w:t>
      </w:r>
    </w:p>
    <w:p w14:paraId="4A6880E5" w14:textId="6DF912B8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五</w:t>
      </w:r>
      <w:r>
        <w:rPr>
          <w:color w:val="17365D"/>
        </w:rPr>
        <w:t>、</w:t>
      </w:r>
      <w:r w:rsidR="00C77D5E" w:rsidRPr="00E75A72">
        <w:rPr>
          <w:color w:val="17365D"/>
        </w:rPr>
        <w:t>就主管事件，接受關說或請託，或利用職務關係，接受招待或餽贈，致損害公益或本中心利益，有確實證據</w:t>
      </w:r>
      <w:r>
        <w:rPr>
          <w:color w:val="17365D"/>
        </w:rPr>
        <w:t>。</w:t>
      </w:r>
    </w:p>
    <w:p w14:paraId="3FCD2231" w14:textId="6382B859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六</w:t>
      </w:r>
      <w:r>
        <w:rPr>
          <w:color w:val="17365D"/>
        </w:rPr>
        <w:t>、</w:t>
      </w:r>
      <w:r w:rsidR="00C77D5E" w:rsidRPr="00E75A72">
        <w:rPr>
          <w:color w:val="17365D"/>
        </w:rPr>
        <w:t>非因職務之需要，動用本中心財產，有確實證據</w:t>
      </w:r>
      <w:r>
        <w:rPr>
          <w:color w:val="17365D"/>
        </w:rPr>
        <w:t>。</w:t>
      </w:r>
    </w:p>
    <w:p w14:paraId="699753C0" w14:textId="3E0FAFD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七</w:t>
      </w:r>
      <w:r>
        <w:rPr>
          <w:color w:val="17365D"/>
        </w:rPr>
        <w:t>、</w:t>
      </w:r>
      <w:r w:rsidR="00C77D5E" w:rsidRPr="00E75A72">
        <w:rPr>
          <w:color w:val="17365D"/>
        </w:rPr>
        <w:t>違反第</w:t>
      </w:r>
      <w:hyperlink w:anchor="a14" w:history="1">
        <w:r w:rsidR="00C77D5E" w:rsidRPr="00501460">
          <w:rPr>
            <w:rStyle w:val="a3"/>
            <w:rFonts w:ascii="Times New Roman" w:hAnsi="Times New Roman"/>
          </w:rPr>
          <w:t>十四</w:t>
        </w:r>
      </w:hyperlink>
      <w:r w:rsidR="00C77D5E" w:rsidRPr="00E75A72">
        <w:rPr>
          <w:color w:val="17365D"/>
        </w:rPr>
        <w:t>條或第</w:t>
      </w:r>
      <w:hyperlink w:anchor="a15" w:history="1">
        <w:r w:rsidR="00C77D5E" w:rsidRPr="00501460">
          <w:rPr>
            <w:rStyle w:val="a3"/>
            <w:rFonts w:ascii="Times New Roman" w:hAnsi="Times New Roman"/>
          </w:rPr>
          <w:t>十五</w:t>
        </w:r>
      </w:hyperlink>
      <w:r w:rsidR="00C77D5E" w:rsidRPr="00E75A72">
        <w:rPr>
          <w:color w:val="17365D"/>
        </w:rPr>
        <w:t>條第一項利益迴避規定，有確實證據</w:t>
      </w:r>
      <w:r>
        <w:rPr>
          <w:color w:val="17365D"/>
        </w:rPr>
        <w:t>。</w:t>
      </w:r>
    </w:p>
    <w:p w14:paraId="06CD2318" w14:textId="0D181FCE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八</w:t>
      </w:r>
      <w:r>
        <w:rPr>
          <w:color w:val="17365D"/>
        </w:rPr>
        <w:t>、</w:t>
      </w:r>
      <w:r w:rsidR="00C77D5E" w:rsidRPr="00E75A72">
        <w:rPr>
          <w:color w:val="17365D"/>
        </w:rPr>
        <w:t>其他不適任董事、監事職位之行為</w:t>
      </w:r>
      <w:r>
        <w:rPr>
          <w:color w:val="17365D"/>
        </w:rPr>
        <w:t>。</w:t>
      </w:r>
    </w:p>
    <w:p w14:paraId="1B2C78D6" w14:textId="24A2E749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="00F47A0D">
        <w:rPr>
          <w:color w:val="404040" w:themeColor="text1" w:themeTint="BF"/>
          <w:sz w:val="18"/>
        </w:rPr>
        <w:t>4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前項各款情形，監督機關於解聘前，應給予當事人陳述意見及申辯之機會</w:t>
      </w:r>
      <w:r>
        <w:rPr>
          <w:color w:val="17365D"/>
        </w:rPr>
        <w:t>。</w:t>
      </w:r>
    </w:p>
    <w:p w14:paraId="24463C4D" w14:textId="49AF34D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="00F47A0D">
        <w:rPr>
          <w:color w:val="404040" w:themeColor="text1" w:themeTint="BF"/>
          <w:sz w:val="18"/>
        </w:rPr>
        <w:t>5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本中心董事、監事之遴聘、解聘、補聘之方式及其他相關事項之</w:t>
      </w:r>
      <w:hyperlink r:id="rId16" w:history="1">
        <w:r w:rsidR="00C77D5E" w:rsidRPr="0038012F">
          <w:rPr>
            <w:rStyle w:val="a3"/>
            <w:rFonts w:ascii="Times New Roman" w:hAnsi="Times New Roman"/>
          </w:rPr>
          <w:t>辦法</w:t>
        </w:r>
      </w:hyperlink>
      <w:r w:rsidR="00C77D5E" w:rsidRPr="00E75A72">
        <w:rPr>
          <w:color w:val="17365D"/>
        </w:rPr>
        <w:t>，由監督機關定之。</w:t>
      </w:r>
    </w:p>
    <w:p w14:paraId="1CD0B476" w14:textId="77777777" w:rsidR="00E66A96" w:rsidRDefault="00C77D5E" w:rsidP="00C77D5E">
      <w:pPr>
        <w:pStyle w:val="2"/>
      </w:pPr>
      <w:bookmarkStart w:id="13" w:name="a10"/>
      <w:bookmarkEnd w:id="13"/>
      <w:r w:rsidRPr="00E75A72">
        <w:t>第</w:t>
      </w:r>
      <w:r w:rsidRPr="00E75A72">
        <w:t>10</w:t>
      </w:r>
      <w:r w:rsidR="00E66A96">
        <w:t>條</w:t>
      </w:r>
    </w:p>
    <w:p w14:paraId="4FC3315A" w14:textId="3ADF2085" w:rsidR="00E66A96" w:rsidRDefault="00E66A96" w:rsidP="00190A29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本中心置董事長一人，由監督機關就董事中提請行政院院長聘任之；解聘時，亦同</w:t>
      </w:r>
      <w:r>
        <w:rPr>
          <w:color w:val="17365D"/>
        </w:rPr>
        <w:t>。</w:t>
      </w:r>
    </w:p>
    <w:p w14:paraId="1BDA0BF5" w14:textId="253DAFAF" w:rsidR="00E66A96" w:rsidRDefault="00E66A96" w:rsidP="00190A29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董事長之聘任、解聘、補聘之方式及其他相關事項</w:t>
      </w:r>
      <w:r w:rsidR="0038012F" w:rsidRPr="00E75A72">
        <w:rPr>
          <w:color w:val="17365D"/>
        </w:rPr>
        <w:t>之</w:t>
      </w:r>
      <w:hyperlink r:id="rId17" w:history="1">
        <w:r w:rsidR="0038012F" w:rsidRPr="0038012F">
          <w:rPr>
            <w:rStyle w:val="a3"/>
            <w:rFonts w:ascii="Times New Roman" w:hAnsi="Times New Roman"/>
          </w:rPr>
          <w:t>辦法</w:t>
        </w:r>
      </w:hyperlink>
      <w:r w:rsidRPr="00E75A72">
        <w:rPr>
          <w:color w:val="17365D"/>
        </w:rPr>
        <w:t>，由監督機關定之</w:t>
      </w:r>
      <w:r>
        <w:rPr>
          <w:color w:val="17365D"/>
        </w:rPr>
        <w:t>。</w:t>
      </w:r>
    </w:p>
    <w:p w14:paraId="78FEF22D" w14:textId="26856C17" w:rsidR="00E66A96" w:rsidRDefault="00E66A96" w:rsidP="00190A29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董事長對內綜理本中心一切事務，對外代表本中心；其因故不能執行職務時，由其指定之董事代行職權，不能指定時，由董事互推一人代行職權</w:t>
      </w:r>
      <w:r>
        <w:rPr>
          <w:color w:val="17365D"/>
        </w:rPr>
        <w:t>。</w:t>
      </w:r>
    </w:p>
    <w:p w14:paraId="6817530E" w14:textId="29DAB07B" w:rsidR="00C77D5E" w:rsidRPr="00E75A72" w:rsidRDefault="00E66A96" w:rsidP="00190A29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4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董事長初任年齡不得逾六十五歲，任期屆滿前年滿七十歲者，應即更換。但有特殊考量，經行政院核准者，不在此限。</w:t>
      </w:r>
    </w:p>
    <w:p w14:paraId="7F654A57" w14:textId="77777777" w:rsidR="00E66A96" w:rsidRDefault="00C77D5E" w:rsidP="00C77D5E">
      <w:pPr>
        <w:pStyle w:val="2"/>
      </w:pPr>
      <w:bookmarkStart w:id="14" w:name="a11"/>
      <w:bookmarkEnd w:id="14"/>
      <w:r w:rsidRPr="00E75A72">
        <w:t>第</w:t>
      </w:r>
      <w:r w:rsidRPr="00E75A72">
        <w:t>11</w:t>
      </w:r>
      <w:r w:rsidR="00E66A96">
        <w:t>條</w:t>
      </w:r>
    </w:p>
    <w:p w14:paraId="09467212" w14:textId="3B0BBBC4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董事會之職權如下：</w:t>
      </w:r>
    </w:p>
    <w:p w14:paraId="5D0A0C44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一、發展目標及計畫之審議</w:t>
      </w:r>
      <w:r w:rsidR="00E66A96">
        <w:rPr>
          <w:color w:val="17365D"/>
        </w:rPr>
        <w:t>。</w:t>
      </w:r>
    </w:p>
    <w:p w14:paraId="28D2BE12" w14:textId="1998B8B6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年度業務計畫之審議</w:t>
      </w:r>
      <w:r>
        <w:rPr>
          <w:color w:val="17365D"/>
        </w:rPr>
        <w:t>。</w:t>
      </w:r>
    </w:p>
    <w:p w14:paraId="57AFEE36" w14:textId="37FEA125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年度預算及決算報告之審議</w:t>
      </w:r>
      <w:r>
        <w:rPr>
          <w:color w:val="17365D"/>
        </w:rPr>
        <w:t>。</w:t>
      </w:r>
    </w:p>
    <w:p w14:paraId="3F7A92A1" w14:textId="5AF9845D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規章之審議</w:t>
      </w:r>
      <w:r>
        <w:rPr>
          <w:color w:val="17365D"/>
        </w:rPr>
        <w:t>。</w:t>
      </w:r>
    </w:p>
    <w:p w14:paraId="138BEB3B" w14:textId="62068A89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五</w:t>
      </w:r>
      <w:r>
        <w:rPr>
          <w:color w:val="17365D"/>
        </w:rPr>
        <w:t>、</w:t>
      </w:r>
      <w:r w:rsidR="00C77D5E" w:rsidRPr="00E75A72">
        <w:rPr>
          <w:color w:val="17365D"/>
        </w:rPr>
        <w:t>自有不動產處分或其設定負擔之審議</w:t>
      </w:r>
      <w:r>
        <w:rPr>
          <w:color w:val="17365D"/>
        </w:rPr>
        <w:t>。</w:t>
      </w:r>
    </w:p>
    <w:p w14:paraId="573272E1" w14:textId="3393B6A8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六</w:t>
      </w:r>
      <w:r>
        <w:rPr>
          <w:color w:val="17365D"/>
        </w:rPr>
        <w:t>、</w:t>
      </w:r>
      <w:r w:rsidR="00C77D5E" w:rsidRPr="00E75A72">
        <w:rPr>
          <w:color w:val="17365D"/>
        </w:rPr>
        <w:t>本條例所定應經董事會決議事項之審議</w:t>
      </w:r>
      <w:r>
        <w:rPr>
          <w:color w:val="17365D"/>
        </w:rPr>
        <w:t>。</w:t>
      </w:r>
    </w:p>
    <w:p w14:paraId="2F1E07C8" w14:textId="11A438FC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七</w:t>
      </w:r>
      <w:r>
        <w:rPr>
          <w:color w:val="17365D"/>
        </w:rPr>
        <w:t>、</w:t>
      </w:r>
      <w:r w:rsidR="00C77D5E" w:rsidRPr="00E75A72">
        <w:rPr>
          <w:color w:val="17365D"/>
        </w:rPr>
        <w:t>執行長任免之同意</w:t>
      </w:r>
      <w:r>
        <w:rPr>
          <w:color w:val="17365D"/>
        </w:rPr>
        <w:t>。</w:t>
      </w:r>
    </w:p>
    <w:p w14:paraId="6BEA0A0E" w14:textId="1D74635C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八</w:t>
      </w:r>
      <w:r>
        <w:rPr>
          <w:color w:val="17365D"/>
        </w:rPr>
        <w:t>、</w:t>
      </w:r>
      <w:r w:rsidR="00C77D5E" w:rsidRPr="00E75A72">
        <w:rPr>
          <w:color w:val="17365D"/>
        </w:rPr>
        <w:t>經費之籌募</w:t>
      </w:r>
      <w:r>
        <w:rPr>
          <w:color w:val="17365D"/>
        </w:rPr>
        <w:t>。</w:t>
      </w:r>
    </w:p>
    <w:p w14:paraId="131C5C94" w14:textId="1C0AEDB3" w:rsidR="00C77D5E" w:rsidRPr="00E75A72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九</w:t>
      </w:r>
      <w:r>
        <w:rPr>
          <w:color w:val="17365D"/>
        </w:rPr>
        <w:t>、</w:t>
      </w:r>
      <w:r w:rsidR="00C77D5E" w:rsidRPr="00E75A72">
        <w:rPr>
          <w:color w:val="17365D"/>
        </w:rPr>
        <w:t>其他重大事項之審議。</w:t>
      </w:r>
    </w:p>
    <w:p w14:paraId="368C5C17" w14:textId="77777777" w:rsidR="00E66A96" w:rsidRDefault="00C77D5E" w:rsidP="00C77D5E">
      <w:pPr>
        <w:pStyle w:val="2"/>
      </w:pPr>
      <w:bookmarkStart w:id="15" w:name="a12"/>
      <w:bookmarkEnd w:id="15"/>
      <w:r w:rsidRPr="00E75A72">
        <w:t>第</w:t>
      </w:r>
      <w:r w:rsidRPr="00E75A72">
        <w:t>12</w:t>
      </w:r>
      <w:r w:rsidR="00E66A96">
        <w:t>條</w:t>
      </w:r>
    </w:p>
    <w:p w14:paraId="46937600" w14:textId="47344A46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董事會每三個月開會一次；必要時，得召開臨時會議，由董事長召集，並擔任主席</w:t>
      </w:r>
      <w:r>
        <w:rPr>
          <w:color w:val="17365D"/>
        </w:rPr>
        <w:t>。</w:t>
      </w:r>
    </w:p>
    <w:p w14:paraId="79714A04" w14:textId="2100EB31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董事會會議應有過半數董事之出席，其決議應有出席董事過半數之同意。但前條第一款至第七款之決議，應有董事總人數過半數之同意。</w:t>
      </w:r>
    </w:p>
    <w:p w14:paraId="333812AD" w14:textId="77777777" w:rsidR="00E66A96" w:rsidRDefault="00C77D5E" w:rsidP="00C77D5E">
      <w:pPr>
        <w:pStyle w:val="2"/>
      </w:pPr>
      <w:bookmarkStart w:id="16" w:name="a13"/>
      <w:bookmarkEnd w:id="16"/>
      <w:r w:rsidRPr="00E75A72">
        <w:t>第</w:t>
      </w:r>
      <w:r w:rsidRPr="00E75A72">
        <w:t>13</w:t>
      </w:r>
      <w:r w:rsidR="00E66A96">
        <w:t>條</w:t>
      </w:r>
    </w:p>
    <w:p w14:paraId="28954004" w14:textId="5824ACDC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監事之職權如下：</w:t>
      </w:r>
    </w:p>
    <w:p w14:paraId="62A98624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一、年度業務決算之審核</w:t>
      </w:r>
      <w:r w:rsidR="00E66A96">
        <w:rPr>
          <w:color w:val="17365D"/>
        </w:rPr>
        <w:t>。</w:t>
      </w:r>
    </w:p>
    <w:p w14:paraId="10F8CBB1" w14:textId="1487D873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業務、財務狀況之監督</w:t>
      </w:r>
      <w:r>
        <w:rPr>
          <w:color w:val="17365D"/>
        </w:rPr>
        <w:t>。</w:t>
      </w:r>
    </w:p>
    <w:p w14:paraId="1BEB8F91" w14:textId="40E3A124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財務帳冊、文件及財產資料之稽核</w:t>
      </w:r>
      <w:r>
        <w:rPr>
          <w:color w:val="17365D"/>
        </w:rPr>
        <w:t>。</w:t>
      </w:r>
    </w:p>
    <w:p w14:paraId="0AB18BA6" w14:textId="55FB73AA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其他重大事項之審核及稽核</w:t>
      </w:r>
      <w:r>
        <w:rPr>
          <w:color w:val="17365D"/>
        </w:rPr>
        <w:t>。</w:t>
      </w:r>
    </w:p>
    <w:p w14:paraId="01993E35" w14:textId="64A4779D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lastRenderedPageBreak/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監事單獨行使職權，常務監事應代表全體監事列席董事會會議。</w:t>
      </w:r>
    </w:p>
    <w:p w14:paraId="6CB770BC" w14:textId="77777777" w:rsidR="00E66A96" w:rsidRDefault="00C77D5E" w:rsidP="00C77D5E">
      <w:pPr>
        <w:pStyle w:val="2"/>
      </w:pPr>
      <w:bookmarkStart w:id="17" w:name="a14"/>
      <w:bookmarkEnd w:id="17"/>
      <w:r w:rsidRPr="00E75A72">
        <w:t>第</w:t>
      </w:r>
      <w:r w:rsidRPr="00E75A72">
        <w:t>14</w:t>
      </w:r>
      <w:r w:rsidR="00E66A96">
        <w:t>條</w:t>
      </w:r>
    </w:p>
    <w:p w14:paraId="2A769E52" w14:textId="437E1A6D" w:rsidR="00C77D5E" w:rsidRPr="00E75A72" w:rsidRDefault="00654119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t>、</w:t>
      </w:r>
      <w:r w:rsidR="00C77D5E" w:rsidRPr="00E75A72">
        <w:rPr>
          <w:color w:val="17365D"/>
        </w:rPr>
        <w:t>監事相互間，不得有配偶及三親等以內血親、姻親之關係。</w:t>
      </w:r>
    </w:p>
    <w:p w14:paraId="03DC68C3" w14:textId="77777777" w:rsidR="00E66A96" w:rsidRDefault="00C77D5E" w:rsidP="00C77D5E">
      <w:pPr>
        <w:pStyle w:val="2"/>
      </w:pPr>
      <w:bookmarkStart w:id="18" w:name="a15"/>
      <w:bookmarkEnd w:id="18"/>
      <w:r w:rsidRPr="00E75A72">
        <w:t>第</w:t>
      </w:r>
      <w:r w:rsidRPr="00E75A72">
        <w:t>15</w:t>
      </w:r>
      <w:r w:rsidR="00E66A96">
        <w:t>條</w:t>
      </w:r>
    </w:p>
    <w:p w14:paraId="28E0E392" w14:textId="0D06A183" w:rsidR="00E66A96" w:rsidRDefault="00654119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t>、</w:t>
      </w:r>
      <w:r w:rsidR="00C77D5E" w:rsidRPr="00E75A72">
        <w:rPr>
          <w:color w:val="17365D"/>
        </w:rPr>
        <w:t>監事、執行長及其關係人之利益迴避事項，依</w:t>
      </w:r>
      <w:hyperlink r:id="rId18" w:history="1">
        <w:r w:rsidR="00C77D5E" w:rsidRPr="00A6788E">
          <w:rPr>
            <w:rStyle w:val="a3"/>
            <w:rFonts w:ascii="Times New Roman" w:hAnsi="Times New Roman"/>
          </w:rPr>
          <w:t>公職人員利益衝突迴避法</w:t>
        </w:r>
      </w:hyperlink>
      <w:r w:rsidR="00C77D5E" w:rsidRPr="00E75A72">
        <w:rPr>
          <w:color w:val="17365D"/>
        </w:rPr>
        <w:t>之規定辦理</w:t>
      </w:r>
      <w:r w:rsidR="00E66A96">
        <w:rPr>
          <w:color w:val="17365D"/>
        </w:rPr>
        <w:t>。</w:t>
      </w:r>
    </w:p>
    <w:p w14:paraId="4F515DF8" w14:textId="183CEB11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違反前項規定致本中心受有損害者，行為人應對其負損害賠償責任</w:t>
      </w:r>
      <w:r>
        <w:rPr>
          <w:color w:val="17365D"/>
        </w:rPr>
        <w:t>。</w:t>
      </w:r>
    </w:p>
    <w:p w14:paraId="16608CE4" w14:textId="73604462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第一項人員違反</w:t>
      </w:r>
      <w:hyperlink r:id="rId19" w:history="1">
        <w:r w:rsidR="00A6788E" w:rsidRPr="00A6788E">
          <w:rPr>
            <w:rStyle w:val="a3"/>
            <w:rFonts w:ascii="Times New Roman" w:hAnsi="Times New Roman"/>
          </w:rPr>
          <w:t>公職人員利益衝突迴避法</w:t>
        </w:r>
      </w:hyperlink>
      <w:r w:rsidR="00C77D5E" w:rsidRPr="00E75A72">
        <w:rPr>
          <w:color w:val="17365D"/>
        </w:rPr>
        <w:t>之規定者，除依該法規定處罰外，監督機關並得為適當之處置；其處置規定，由監督機關</w:t>
      </w:r>
      <w:hyperlink r:id="rId20" w:history="1">
        <w:r w:rsidR="00C77D5E" w:rsidRPr="00150A79">
          <w:rPr>
            <w:rStyle w:val="a3"/>
            <w:rFonts w:ascii="Times New Roman" w:hAnsi="Times New Roman"/>
          </w:rPr>
          <w:t>定之</w:t>
        </w:r>
      </w:hyperlink>
      <w:r w:rsidR="00C77D5E" w:rsidRPr="00E75A72">
        <w:rPr>
          <w:color w:val="17365D"/>
        </w:rPr>
        <w:t>。</w:t>
      </w:r>
    </w:p>
    <w:p w14:paraId="3C1B5D2A" w14:textId="77777777" w:rsidR="00E66A96" w:rsidRDefault="00C77D5E" w:rsidP="00C77D5E">
      <w:pPr>
        <w:pStyle w:val="2"/>
      </w:pPr>
      <w:bookmarkStart w:id="19" w:name="a16"/>
      <w:bookmarkEnd w:id="19"/>
      <w:r w:rsidRPr="00E75A72">
        <w:t>第</w:t>
      </w:r>
      <w:r w:rsidRPr="00E75A72">
        <w:t>16</w:t>
      </w:r>
      <w:r w:rsidR="00E66A96">
        <w:t>條</w:t>
      </w:r>
    </w:p>
    <w:p w14:paraId="3FC6B6C8" w14:textId="5374CCDF" w:rsidR="00C77D5E" w:rsidRPr="00E75A72" w:rsidRDefault="00654119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t>、</w:t>
      </w:r>
      <w:r w:rsidR="00C77D5E" w:rsidRPr="00E75A72">
        <w:rPr>
          <w:color w:val="17365D"/>
        </w:rPr>
        <w:t>常務監事應親自出席、列席董事會會議，不得委託他人代理出席。</w:t>
      </w:r>
    </w:p>
    <w:p w14:paraId="78273CE1" w14:textId="77777777" w:rsidR="00E66A96" w:rsidRDefault="00C77D5E" w:rsidP="00C77D5E">
      <w:pPr>
        <w:pStyle w:val="2"/>
      </w:pPr>
      <w:bookmarkStart w:id="20" w:name="a17"/>
      <w:bookmarkEnd w:id="20"/>
      <w:r w:rsidRPr="00E75A72">
        <w:t>第</w:t>
      </w:r>
      <w:r w:rsidRPr="00E75A72">
        <w:t>17</w:t>
      </w:r>
      <w:r w:rsidR="00E66A96">
        <w:t>條</w:t>
      </w:r>
    </w:p>
    <w:p w14:paraId="5DA02A79" w14:textId="7AC5A011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本中心之董事長得為專任或兼任，專任者之報酬由監督機關核定之；兼任者為無給職</w:t>
      </w:r>
      <w:r>
        <w:rPr>
          <w:color w:val="17365D"/>
        </w:rPr>
        <w:t>。</w:t>
      </w:r>
    </w:p>
    <w:p w14:paraId="0DF8EBC6" w14:textId="688F311B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本中心之董事、常務監事及監事，均為無給職。</w:t>
      </w:r>
    </w:p>
    <w:p w14:paraId="6D258A05" w14:textId="77777777" w:rsidR="00E66A96" w:rsidRDefault="00C77D5E" w:rsidP="00C77D5E">
      <w:pPr>
        <w:pStyle w:val="2"/>
      </w:pPr>
      <w:bookmarkStart w:id="21" w:name="a18"/>
      <w:bookmarkEnd w:id="21"/>
      <w:r w:rsidRPr="00E75A72">
        <w:t>第</w:t>
      </w:r>
      <w:r w:rsidRPr="00E75A72">
        <w:t>18</w:t>
      </w:r>
      <w:r w:rsidR="00E66A96">
        <w:t>條</w:t>
      </w:r>
    </w:p>
    <w:p w14:paraId="3232226C" w14:textId="55E0826D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本中心置執行長一人，專任，由董事長提請董事會通過後聘任之；解聘時，亦同。執行長依本中心規章、董事會之決議及董事長之授權，執行本中心業務，並督導所屬人員</w:t>
      </w:r>
      <w:r>
        <w:rPr>
          <w:color w:val="17365D"/>
        </w:rPr>
        <w:t>。</w:t>
      </w:r>
    </w:p>
    <w:p w14:paraId="2911306D" w14:textId="407E8763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hyperlink w:anchor="a9" w:history="1">
        <w:r w:rsidR="00C77D5E" w:rsidRPr="00E63254">
          <w:rPr>
            <w:rStyle w:val="a3"/>
            <w:rFonts w:ascii="Times New Roman" w:hAnsi="Times New Roman"/>
          </w:rPr>
          <w:t>第九條</w:t>
        </w:r>
      </w:hyperlink>
      <w:r w:rsidR="00C77D5E" w:rsidRPr="00E75A72">
        <w:rPr>
          <w:color w:val="17365D"/>
        </w:rPr>
        <w:t>第一項至第四項、</w:t>
      </w:r>
      <w:hyperlink w:anchor="a10" w:history="1">
        <w:r w:rsidR="00C77D5E" w:rsidRPr="00E63254">
          <w:rPr>
            <w:rStyle w:val="a3"/>
            <w:rFonts w:ascii="Times New Roman" w:hAnsi="Times New Roman"/>
          </w:rPr>
          <w:t>第十條</w:t>
        </w:r>
      </w:hyperlink>
      <w:r w:rsidR="00C77D5E" w:rsidRPr="00E75A72">
        <w:rPr>
          <w:color w:val="17365D"/>
        </w:rPr>
        <w:t>第四項、第</w:t>
      </w:r>
      <w:hyperlink w:anchor="a14" w:history="1">
        <w:r w:rsidR="00C77D5E" w:rsidRPr="00E63254">
          <w:rPr>
            <w:rStyle w:val="a3"/>
            <w:rFonts w:ascii="Times New Roman" w:hAnsi="Times New Roman"/>
          </w:rPr>
          <w:t>十四</w:t>
        </w:r>
      </w:hyperlink>
      <w:r w:rsidR="00C77D5E" w:rsidRPr="00E75A72">
        <w:rPr>
          <w:color w:val="17365D"/>
        </w:rPr>
        <w:t>條及第</w:t>
      </w:r>
      <w:hyperlink w:anchor="a22" w:history="1">
        <w:r w:rsidR="00C77D5E" w:rsidRPr="00E63254">
          <w:rPr>
            <w:rStyle w:val="a3"/>
            <w:rFonts w:ascii="Times New Roman" w:hAnsi="Times New Roman"/>
          </w:rPr>
          <w:t>二十二</w:t>
        </w:r>
      </w:hyperlink>
      <w:r w:rsidR="00C77D5E" w:rsidRPr="00E75A72">
        <w:rPr>
          <w:color w:val="17365D"/>
        </w:rPr>
        <w:t>條第六款有關董事及董事長之規定，於執行長準用之。</w:t>
      </w:r>
    </w:p>
    <w:p w14:paraId="03C73B3D" w14:textId="77777777" w:rsidR="00E66A96" w:rsidRDefault="00C77D5E" w:rsidP="00C77D5E">
      <w:pPr>
        <w:pStyle w:val="2"/>
      </w:pPr>
      <w:bookmarkStart w:id="22" w:name="a19"/>
      <w:bookmarkEnd w:id="22"/>
      <w:r w:rsidRPr="00E75A72">
        <w:t>第</w:t>
      </w:r>
      <w:r w:rsidRPr="00E75A72">
        <w:t>19</w:t>
      </w:r>
      <w:r w:rsidR="00E66A96">
        <w:t>條</w:t>
      </w:r>
    </w:p>
    <w:p w14:paraId="7366869B" w14:textId="6E088E0C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本中心進用之人員，依本中心人事管理規章辦理，不具公務人員身分；其權利義務關係，應於契約中明定</w:t>
      </w:r>
      <w:r>
        <w:rPr>
          <w:color w:val="17365D"/>
        </w:rPr>
        <w:t>。</w:t>
      </w:r>
    </w:p>
    <w:p w14:paraId="2E8AB9AE" w14:textId="42AE1661" w:rsidR="00E66A96" w:rsidRDefault="00654119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E66A96" w:rsidRPr="00E75A72">
        <w:rPr>
          <w:color w:val="17365D"/>
        </w:rPr>
        <w:t>董事</w:t>
      </w:r>
      <w:r w:rsidR="00E66A96">
        <w:rPr>
          <w:color w:val="17365D"/>
        </w:rPr>
        <w:t>、</w:t>
      </w:r>
      <w:r w:rsidR="00C77D5E" w:rsidRPr="00E75A72">
        <w:rPr>
          <w:color w:val="17365D"/>
        </w:rPr>
        <w:t>監事、執行長之配偶及其三親等以內血親、姻親，不得擔任本中心總務、會計及人事職務</w:t>
      </w:r>
      <w:r w:rsidR="00E66A96">
        <w:rPr>
          <w:color w:val="17365D"/>
        </w:rPr>
        <w:t>。</w:t>
      </w:r>
    </w:p>
    <w:p w14:paraId="2CE7F454" w14:textId="69E6FF3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="00654119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董事長、執行長不得進用其配偶及三親等以內血親、姻親，擔任本中心職務。</w:t>
      </w:r>
    </w:p>
    <w:p w14:paraId="4D84C2A1" w14:textId="77777777" w:rsidR="00E66A96" w:rsidRDefault="00C77D5E" w:rsidP="00C77D5E">
      <w:pPr>
        <w:pStyle w:val="2"/>
      </w:pPr>
      <w:bookmarkStart w:id="23" w:name="a20"/>
      <w:bookmarkEnd w:id="23"/>
      <w:r w:rsidRPr="00E75A72">
        <w:t>第</w:t>
      </w:r>
      <w:r w:rsidRPr="00E75A72">
        <w:t>20</w:t>
      </w:r>
      <w:r w:rsidR="00E66A96">
        <w:t>條</w:t>
      </w:r>
    </w:p>
    <w:p w14:paraId="6A094883" w14:textId="16386313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本中心為應業務需要，得報請監督機關核准，依任務性質遴派專業人員駐境外辦事</w:t>
      </w:r>
      <w:r>
        <w:rPr>
          <w:color w:val="17365D"/>
        </w:rPr>
        <w:t>。</w:t>
      </w:r>
    </w:p>
    <w:p w14:paraId="0EA40E0C" w14:textId="37C7FA97" w:rsidR="00C77D5E" w:rsidRPr="00E75A72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　　</w:t>
      </w:r>
      <w:r w:rsidR="00C77D5E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</w:t>
      </w:r>
      <w:hyperlink w:anchor="a章節索引" w:history="1">
        <w:r w:rsidR="00C77D5E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77D5E">
        <w:rPr>
          <w:rFonts w:ascii="Arial Unicode MS" w:hAnsi="Arial Unicode MS" w:hint="eastAsia"/>
          <w:color w:val="808000"/>
          <w:sz w:val="18"/>
        </w:rPr>
        <w:t>〉〉</w:t>
      </w:r>
    </w:p>
    <w:p w14:paraId="05D816CA" w14:textId="77777777" w:rsidR="00C77D5E" w:rsidRPr="00E75A72" w:rsidRDefault="00C77D5E" w:rsidP="00C77D5E">
      <w:pPr>
        <w:pStyle w:val="1"/>
      </w:pPr>
      <w:bookmarkStart w:id="24" w:name="_第三章__業務及監督"/>
      <w:bookmarkEnd w:id="24"/>
      <w:r w:rsidRPr="00E75A72">
        <w:t>第三章　　業務及監督</w:t>
      </w:r>
    </w:p>
    <w:p w14:paraId="183965C3" w14:textId="77777777" w:rsidR="00E66A96" w:rsidRDefault="00C77D5E" w:rsidP="00C77D5E">
      <w:pPr>
        <w:pStyle w:val="2"/>
      </w:pPr>
      <w:bookmarkStart w:id="25" w:name="a21"/>
      <w:bookmarkEnd w:id="25"/>
      <w:r w:rsidRPr="00E75A72">
        <w:t>第</w:t>
      </w:r>
      <w:r w:rsidRPr="00E75A72">
        <w:t>21</w:t>
      </w:r>
      <w:r w:rsidR="00E66A96">
        <w:t>條</w:t>
      </w:r>
    </w:p>
    <w:p w14:paraId="0C728765" w14:textId="2DA9C023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本中心應擬訂發展目標及計畫，提經董事會通過後，報請監督機關核定</w:t>
      </w:r>
      <w:r>
        <w:rPr>
          <w:color w:val="17365D"/>
        </w:rPr>
        <w:t>。</w:t>
      </w:r>
    </w:p>
    <w:p w14:paraId="61121BE7" w14:textId="0C2D1E32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本中心應訂定年度業務計畫及其預算，提經董事會通過後，報請監督機關備查。</w:t>
      </w:r>
    </w:p>
    <w:p w14:paraId="740D7BA0" w14:textId="77777777" w:rsidR="00E66A96" w:rsidRDefault="00C77D5E" w:rsidP="00C77D5E">
      <w:pPr>
        <w:pStyle w:val="2"/>
      </w:pPr>
      <w:bookmarkStart w:id="26" w:name="a22"/>
      <w:bookmarkEnd w:id="26"/>
      <w:r w:rsidRPr="00E75A72">
        <w:t>第</w:t>
      </w:r>
      <w:r w:rsidRPr="00E75A72">
        <w:t>22</w:t>
      </w:r>
      <w:r w:rsidR="00E66A96">
        <w:t>條</w:t>
      </w:r>
    </w:p>
    <w:p w14:paraId="440CB18F" w14:textId="2FC71219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監督機關對本中心之監督權限如下：</w:t>
      </w:r>
    </w:p>
    <w:p w14:paraId="2FF42781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一、發展目標及計畫之核定</w:t>
      </w:r>
      <w:r w:rsidR="00E66A96">
        <w:rPr>
          <w:color w:val="17365D"/>
        </w:rPr>
        <w:t>。</w:t>
      </w:r>
    </w:p>
    <w:p w14:paraId="4F4C1687" w14:textId="12EE48D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規章、年度業務計畫與預算、年度執行成果及決算報告書之核定或備查</w:t>
      </w:r>
      <w:r>
        <w:rPr>
          <w:color w:val="17365D"/>
        </w:rPr>
        <w:t>。</w:t>
      </w:r>
    </w:p>
    <w:p w14:paraId="5F0151A0" w14:textId="58098101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財產及財務狀況之檢查</w:t>
      </w:r>
      <w:r>
        <w:rPr>
          <w:color w:val="17365D"/>
        </w:rPr>
        <w:t>。</w:t>
      </w:r>
    </w:p>
    <w:p w14:paraId="404FD154" w14:textId="281C9684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lastRenderedPageBreak/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業務績效之評鑑</w:t>
      </w:r>
      <w:r>
        <w:rPr>
          <w:color w:val="17365D"/>
        </w:rPr>
        <w:t>。</w:t>
      </w:r>
    </w:p>
    <w:p w14:paraId="68FF7CA4" w14:textId="458535E1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五</w:t>
      </w:r>
      <w:r>
        <w:rPr>
          <w:color w:val="17365D"/>
        </w:rPr>
        <w:t>、</w:t>
      </w:r>
      <w:r w:rsidR="00C77D5E" w:rsidRPr="00E75A72">
        <w:rPr>
          <w:color w:val="17365D"/>
        </w:rPr>
        <w:t>董事、監事遴聘、解聘之建議</w:t>
      </w:r>
      <w:r>
        <w:rPr>
          <w:color w:val="17365D"/>
        </w:rPr>
        <w:t>。</w:t>
      </w:r>
    </w:p>
    <w:p w14:paraId="39C84169" w14:textId="1C475F56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六</w:t>
      </w:r>
      <w:r>
        <w:rPr>
          <w:color w:val="17365D"/>
        </w:rPr>
        <w:t>、</w:t>
      </w:r>
      <w:r w:rsidR="00C77D5E" w:rsidRPr="00E75A72">
        <w:rPr>
          <w:color w:val="17365D"/>
        </w:rPr>
        <w:t>董事、監事於執行業務違反法令時，得為必要處分</w:t>
      </w:r>
      <w:r>
        <w:rPr>
          <w:color w:val="17365D"/>
        </w:rPr>
        <w:t>。</w:t>
      </w:r>
    </w:p>
    <w:p w14:paraId="2BDCD644" w14:textId="60AB3D8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七</w:t>
      </w:r>
      <w:r>
        <w:rPr>
          <w:color w:val="17365D"/>
        </w:rPr>
        <w:t>、</w:t>
      </w:r>
      <w:r w:rsidR="00C77D5E" w:rsidRPr="00E75A72">
        <w:rPr>
          <w:color w:val="17365D"/>
        </w:rPr>
        <w:t>本中心違反</w:t>
      </w:r>
      <w:hyperlink r:id="rId21" w:history="1">
        <w:r w:rsidR="00C77D5E" w:rsidRPr="00016452">
          <w:rPr>
            <w:rStyle w:val="a3"/>
            <w:rFonts w:ascii="Times New Roman" w:hAnsi="Times New Roman"/>
          </w:rPr>
          <w:t>憲法</w:t>
        </w:r>
      </w:hyperlink>
      <w:r w:rsidR="00C77D5E" w:rsidRPr="00E75A72">
        <w:rPr>
          <w:color w:val="17365D"/>
        </w:rPr>
        <w:t>、法律、法規命令時，予以撤銷、變更、廢止、限期改善、停止執行或其他處分</w:t>
      </w:r>
      <w:r>
        <w:rPr>
          <w:color w:val="17365D"/>
        </w:rPr>
        <w:t>。</w:t>
      </w:r>
    </w:p>
    <w:p w14:paraId="0B068F9D" w14:textId="157FD9C0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八</w:t>
      </w:r>
      <w:r>
        <w:rPr>
          <w:color w:val="17365D"/>
        </w:rPr>
        <w:t>、</w:t>
      </w:r>
      <w:r w:rsidR="00C77D5E" w:rsidRPr="00E75A72">
        <w:rPr>
          <w:color w:val="17365D"/>
        </w:rPr>
        <w:t>自有不動產處分或設定負擔之核可</w:t>
      </w:r>
      <w:r>
        <w:rPr>
          <w:color w:val="17365D"/>
        </w:rPr>
        <w:t>。</w:t>
      </w:r>
    </w:p>
    <w:p w14:paraId="1578E3BE" w14:textId="4FA8A672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九</w:t>
      </w:r>
      <w:r>
        <w:rPr>
          <w:color w:val="17365D"/>
        </w:rPr>
        <w:t>、</w:t>
      </w:r>
      <w:r w:rsidR="00C77D5E" w:rsidRPr="00E75A72">
        <w:rPr>
          <w:color w:val="17365D"/>
        </w:rPr>
        <w:t>本中心遴派專業人員駐境外辦事之核准</w:t>
      </w:r>
      <w:r>
        <w:rPr>
          <w:color w:val="17365D"/>
        </w:rPr>
        <w:t>。</w:t>
      </w:r>
    </w:p>
    <w:p w14:paraId="6B9DE527" w14:textId="6060B457" w:rsidR="00C77D5E" w:rsidRPr="00E75A72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十</w:t>
      </w:r>
      <w:r>
        <w:rPr>
          <w:color w:val="17365D"/>
        </w:rPr>
        <w:t>、</w:t>
      </w:r>
      <w:r w:rsidR="00C77D5E" w:rsidRPr="00E75A72">
        <w:rPr>
          <w:color w:val="17365D"/>
        </w:rPr>
        <w:t>其他依法律所為之監督。</w:t>
      </w:r>
    </w:p>
    <w:p w14:paraId="20FF71C0" w14:textId="77777777" w:rsidR="00E66A96" w:rsidRDefault="00C77D5E" w:rsidP="00C77D5E">
      <w:pPr>
        <w:pStyle w:val="2"/>
      </w:pPr>
      <w:bookmarkStart w:id="27" w:name="a23"/>
      <w:bookmarkEnd w:id="27"/>
      <w:r w:rsidRPr="00E75A72">
        <w:t>第</w:t>
      </w:r>
      <w:r w:rsidRPr="00E75A72">
        <w:t>23</w:t>
      </w:r>
      <w:r w:rsidR="00E66A96">
        <w:t>條</w:t>
      </w:r>
    </w:p>
    <w:p w14:paraId="39FF3355" w14:textId="4F4A95D2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監督機關應邀集有關機關代表、學者專家及社會公正人士，辦理本中心之績效評鑑；其學者專家及社會公正人士之人數，不得少於二分之一</w:t>
      </w:r>
      <w:r>
        <w:rPr>
          <w:color w:val="17365D"/>
        </w:rPr>
        <w:t>。</w:t>
      </w:r>
    </w:p>
    <w:p w14:paraId="4B36C841" w14:textId="0CA24DC0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前項評鑑成員，任一性別不得少於總人數三分之一</w:t>
      </w:r>
      <w:r>
        <w:rPr>
          <w:color w:val="17365D"/>
        </w:rPr>
        <w:t>。</w:t>
      </w:r>
    </w:p>
    <w:p w14:paraId="269E091B" w14:textId="0B79507B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第一項績效評鑑之成員資格條件、遴聘程序、績效評鑑之方式、程序及其他相關事項之</w:t>
      </w:r>
      <w:hyperlink r:id="rId22" w:history="1">
        <w:r w:rsidRPr="0038012F">
          <w:rPr>
            <w:rStyle w:val="a3"/>
            <w:rFonts w:ascii="Times New Roman" w:hAnsi="Times New Roman"/>
          </w:rPr>
          <w:t>辦法</w:t>
        </w:r>
      </w:hyperlink>
      <w:r w:rsidRPr="00E75A72">
        <w:rPr>
          <w:color w:val="17365D"/>
        </w:rPr>
        <w:t>，由監督機關定之</w:t>
      </w:r>
      <w:r>
        <w:rPr>
          <w:color w:val="17365D"/>
        </w:rPr>
        <w:t>。</w:t>
      </w:r>
    </w:p>
    <w:p w14:paraId="5A65F1D4" w14:textId="092D9CA3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4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績效評鑑之內容如下：</w:t>
      </w:r>
    </w:p>
    <w:p w14:paraId="1C6049E6" w14:textId="77777777" w:rsidR="00E66A96" w:rsidRDefault="00C77D5E" w:rsidP="00C77D5E">
      <w:pPr>
        <w:ind w:left="142"/>
        <w:rPr>
          <w:color w:val="17365D"/>
        </w:rPr>
      </w:pPr>
      <w:r w:rsidRPr="00E75A72">
        <w:rPr>
          <w:color w:val="17365D"/>
        </w:rPr>
        <w:t xml:space="preserve">　　一、本中心年度執行成果之考核</w:t>
      </w:r>
      <w:r w:rsidR="00E66A96">
        <w:rPr>
          <w:color w:val="17365D"/>
        </w:rPr>
        <w:t>。</w:t>
      </w:r>
    </w:p>
    <w:p w14:paraId="6C97518B" w14:textId="30ED91AB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二</w:t>
      </w:r>
      <w:r>
        <w:rPr>
          <w:color w:val="17365D"/>
        </w:rPr>
        <w:t>、</w:t>
      </w:r>
      <w:r w:rsidR="00C77D5E" w:rsidRPr="00E75A72">
        <w:rPr>
          <w:color w:val="17365D"/>
        </w:rPr>
        <w:t>本中心業務績效及目標達成率之評量</w:t>
      </w:r>
      <w:r>
        <w:rPr>
          <w:color w:val="17365D"/>
        </w:rPr>
        <w:t>。</w:t>
      </w:r>
    </w:p>
    <w:p w14:paraId="35F94C32" w14:textId="7138D93A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三</w:t>
      </w:r>
      <w:r>
        <w:rPr>
          <w:color w:val="17365D"/>
        </w:rPr>
        <w:t>、</w:t>
      </w:r>
      <w:r w:rsidR="00C77D5E" w:rsidRPr="00E75A72">
        <w:rPr>
          <w:color w:val="17365D"/>
        </w:rPr>
        <w:t>本中心年度自籌款比率達成率</w:t>
      </w:r>
      <w:r>
        <w:rPr>
          <w:color w:val="17365D"/>
        </w:rPr>
        <w:t>。</w:t>
      </w:r>
    </w:p>
    <w:p w14:paraId="54C1B027" w14:textId="1E8D2AFB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四</w:t>
      </w:r>
      <w:r>
        <w:rPr>
          <w:color w:val="17365D"/>
        </w:rPr>
        <w:t>、</w:t>
      </w:r>
      <w:r w:rsidR="00C77D5E" w:rsidRPr="00E75A72">
        <w:rPr>
          <w:color w:val="17365D"/>
        </w:rPr>
        <w:t>本中心經費核撥之建議</w:t>
      </w:r>
      <w:r>
        <w:rPr>
          <w:color w:val="17365D"/>
        </w:rPr>
        <w:t>。</w:t>
      </w:r>
    </w:p>
    <w:p w14:paraId="00AEC4E7" w14:textId="14607B66" w:rsidR="00E66A96" w:rsidRDefault="00E66A96" w:rsidP="00C77D5E">
      <w:pPr>
        <w:ind w:left="142"/>
        <w:rPr>
          <w:color w:val="17365D"/>
        </w:rPr>
      </w:pPr>
      <w:r>
        <w:rPr>
          <w:color w:val="17365D"/>
        </w:rPr>
        <w:t xml:space="preserve">　　</w:t>
      </w:r>
      <w:r w:rsidRPr="00E75A72">
        <w:rPr>
          <w:color w:val="17365D"/>
        </w:rPr>
        <w:t>五</w:t>
      </w:r>
      <w:r>
        <w:rPr>
          <w:color w:val="17365D"/>
        </w:rPr>
        <w:t>、</w:t>
      </w:r>
      <w:r w:rsidR="00C77D5E" w:rsidRPr="00E75A72">
        <w:rPr>
          <w:color w:val="17365D"/>
        </w:rPr>
        <w:t>其他有關事項</w:t>
      </w:r>
      <w:r>
        <w:rPr>
          <w:color w:val="17365D"/>
        </w:rPr>
        <w:t>。</w:t>
      </w:r>
    </w:p>
    <w:p w14:paraId="6D12850D" w14:textId="2E5D95A0" w:rsidR="00C77D5E" w:rsidRPr="00E75A72" w:rsidRDefault="00E66A96" w:rsidP="00C77D5E">
      <w:pPr>
        <w:ind w:left="142"/>
        <w:rPr>
          <w:color w:val="17365D"/>
        </w:rPr>
      </w:pPr>
      <w:r w:rsidRPr="00243D93">
        <w:rPr>
          <w:color w:val="17365D"/>
          <w:sz w:val="18"/>
        </w:rPr>
        <w:t xml:space="preserve">　　　　</w:t>
      </w:r>
      <w:r w:rsidR="00C77D5E" w:rsidRPr="00243D93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</w:t>
      </w:r>
      <w:hyperlink w:anchor="a章節索引" w:history="1">
        <w:r w:rsidR="00C77D5E"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 w:rsidR="00C77D5E">
        <w:rPr>
          <w:rFonts w:ascii="Arial Unicode MS" w:hAnsi="Arial Unicode MS" w:hint="eastAsia"/>
          <w:color w:val="808000"/>
          <w:sz w:val="18"/>
        </w:rPr>
        <w:t>〉〉</w:t>
      </w:r>
    </w:p>
    <w:p w14:paraId="3FB26E25" w14:textId="77777777" w:rsidR="00C77D5E" w:rsidRPr="00E75A72" w:rsidRDefault="00C77D5E" w:rsidP="00C77D5E">
      <w:pPr>
        <w:pStyle w:val="1"/>
      </w:pPr>
      <w:bookmarkStart w:id="28" w:name="_第四章__會計及財務"/>
      <w:bookmarkEnd w:id="28"/>
      <w:r w:rsidRPr="00E75A72">
        <w:t>第四章　　會計及財務</w:t>
      </w:r>
    </w:p>
    <w:p w14:paraId="6B644BB3" w14:textId="77777777" w:rsidR="00E66A96" w:rsidRDefault="00C77D5E" w:rsidP="00C77D5E">
      <w:pPr>
        <w:pStyle w:val="2"/>
      </w:pPr>
      <w:bookmarkStart w:id="29" w:name="a24"/>
      <w:bookmarkEnd w:id="29"/>
      <w:r w:rsidRPr="00E75A72">
        <w:t>第</w:t>
      </w:r>
      <w:r w:rsidRPr="00E75A72">
        <w:t>24</w:t>
      </w:r>
      <w:r w:rsidR="00E66A96">
        <w:t>條</w:t>
      </w:r>
    </w:p>
    <w:p w14:paraId="413A7CDD" w14:textId="3DC18699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本中心會計年度，應與政府會計年度一致</w:t>
      </w:r>
      <w:r>
        <w:rPr>
          <w:color w:val="17365D"/>
        </w:rPr>
        <w:t>。</w:t>
      </w:r>
    </w:p>
    <w:p w14:paraId="216322C7" w14:textId="1A6765DD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本中心之會計制度，依行政法人會計制度設置相關法規訂定</w:t>
      </w:r>
      <w:r>
        <w:rPr>
          <w:color w:val="17365D"/>
        </w:rPr>
        <w:t>。</w:t>
      </w:r>
    </w:p>
    <w:p w14:paraId="7E73426B" w14:textId="32B9CE5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本中心財務報表，應委請會計師進行查核簽證。</w:t>
      </w:r>
    </w:p>
    <w:p w14:paraId="068F49D7" w14:textId="77777777" w:rsidR="00E66A96" w:rsidRDefault="00C77D5E" w:rsidP="00C77D5E">
      <w:pPr>
        <w:pStyle w:val="2"/>
      </w:pPr>
      <w:bookmarkStart w:id="30" w:name="a25"/>
      <w:bookmarkEnd w:id="30"/>
      <w:r w:rsidRPr="00E75A72">
        <w:t>第</w:t>
      </w:r>
      <w:r w:rsidRPr="00E75A72">
        <w:t>25</w:t>
      </w:r>
      <w:r w:rsidR="00E66A96">
        <w:t>條</w:t>
      </w:r>
    </w:p>
    <w:p w14:paraId="2B3EE692" w14:textId="7F1051FF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本中心於會計年度終了後三個月內，應將年度執行成果及決算報告書，委託會計師查核簽證，提交董事會審議，並經全體監事通過後，報請監督機關備查，並送審計機關</w:t>
      </w:r>
      <w:r>
        <w:rPr>
          <w:color w:val="17365D"/>
        </w:rPr>
        <w:t>。</w:t>
      </w:r>
    </w:p>
    <w:p w14:paraId="2D07729A" w14:textId="53295AB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前項決算報告，審計機關得審計之；審計結果，得送監督機關或其他相關機關為必要之處理。</w:t>
      </w:r>
    </w:p>
    <w:p w14:paraId="7AA9272A" w14:textId="77777777" w:rsidR="00E66A96" w:rsidRDefault="00C77D5E" w:rsidP="00C77D5E">
      <w:pPr>
        <w:pStyle w:val="2"/>
      </w:pPr>
      <w:bookmarkStart w:id="31" w:name="a26"/>
      <w:bookmarkEnd w:id="31"/>
      <w:r w:rsidRPr="00E75A72">
        <w:t>第</w:t>
      </w:r>
      <w:r w:rsidRPr="00E75A72">
        <w:t>26</w:t>
      </w:r>
      <w:r w:rsidR="00E66A96">
        <w:t>條</w:t>
      </w:r>
    </w:p>
    <w:p w14:paraId="339F54BF" w14:textId="4956EA7D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本中心成立年度之政府核撥經費，得由監督機關在原預算範圍內調整因應，不受預算法第</w:t>
      </w:r>
      <w:hyperlink r:id="rId23" w:anchor="a62" w:history="1">
        <w:r w:rsidR="00C77D5E" w:rsidRPr="001C1F2B">
          <w:rPr>
            <w:rStyle w:val="a3"/>
            <w:rFonts w:ascii="Times New Roman" w:hAnsi="Times New Roman"/>
          </w:rPr>
          <w:t>六十二</w:t>
        </w:r>
      </w:hyperlink>
      <w:r w:rsidR="00C77D5E" w:rsidRPr="00E75A72">
        <w:rPr>
          <w:color w:val="17365D"/>
        </w:rPr>
        <w:t>條及第</w:t>
      </w:r>
      <w:hyperlink r:id="rId24" w:anchor="a63" w:history="1">
        <w:r w:rsidR="00C77D5E" w:rsidRPr="001C1F2B">
          <w:rPr>
            <w:rStyle w:val="a3"/>
            <w:rFonts w:ascii="Times New Roman" w:hAnsi="Times New Roman"/>
          </w:rPr>
          <w:t>六十三</w:t>
        </w:r>
      </w:hyperlink>
      <w:r w:rsidR="00C77D5E" w:rsidRPr="00E75A72">
        <w:rPr>
          <w:color w:val="17365D"/>
        </w:rPr>
        <w:t>條規定之限制。</w:t>
      </w:r>
    </w:p>
    <w:p w14:paraId="6969E5D4" w14:textId="77777777" w:rsidR="00E66A96" w:rsidRDefault="00C77D5E" w:rsidP="00C77D5E">
      <w:pPr>
        <w:pStyle w:val="2"/>
      </w:pPr>
      <w:bookmarkStart w:id="32" w:name="a27"/>
      <w:bookmarkEnd w:id="32"/>
      <w:r w:rsidRPr="00E75A72">
        <w:t>第</w:t>
      </w:r>
      <w:r w:rsidRPr="00E75A72">
        <w:t>27</w:t>
      </w:r>
      <w:r w:rsidR="00E66A96">
        <w:t>條</w:t>
      </w:r>
    </w:p>
    <w:p w14:paraId="0FA4D948" w14:textId="02A841E6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本中心因業務必要使用之公有財產，得價購或由政府機關採捐贈、出租或無償提供使用方式為之；採捐贈者，不受土地法第</w:t>
      </w:r>
      <w:hyperlink r:id="rId25" w:anchor="a25" w:history="1">
        <w:r w:rsidR="00C77D5E" w:rsidRPr="009F6433">
          <w:rPr>
            <w:rStyle w:val="a3"/>
            <w:rFonts w:ascii="Times New Roman" w:hAnsi="Times New Roman"/>
          </w:rPr>
          <w:t>二十五</w:t>
        </w:r>
      </w:hyperlink>
      <w:r w:rsidR="00C77D5E" w:rsidRPr="00E75A72">
        <w:rPr>
          <w:color w:val="17365D"/>
        </w:rPr>
        <w:t>條、國有財產法第</w:t>
      </w:r>
      <w:hyperlink r:id="rId26" w:anchor="a28" w:history="1">
        <w:r w:rsidR="00C77D5E" w:rsidRPr="009F6433">
          <w:rPr>
            <w:rStyle w:val="a3"/>
            <w:rFonts w:ascii="Times New Roman" w:hAnsi="Times New Roman"/>
          </w:rPr>
          <w:t>二十八</w:t>
        </w:r>
      </w:hyperlink>
      <w:r w:rsidR="00C77D5E" w:rsidRPr="00E75A72">
        <w:rPr>
          <w:color w:val="17365D"/>
        </w:rPr>
        <w:t>條、第</w:t>
      </w:r>
      <w:hyperlink r:id="rId27" w:anchor="a60" w:history="1">
        <w:r w:rsidR="00C77D5E" w:rsidRPr="009F6433">
          <w:rPr>
            <w:rStyle w:val="a3"/>
            <w:rFonts w:ascii="Times New Roman" w:hAnsi="Times New Roman"/>
          </w:rPr>
          <w:t>六十</w:t>
        </w:r>
      </w:hyperlink>
      <w:r w:rsidR="00C77D5E" w:rsidRPr="00E75A72">
        <w:rPr>
          <w:color w:val="17365D"/>
        </w:rPr>
        <w:t>條及地方政府公產管理法令相關規定之限制</w:t>
      </w:r>
      <w:r>
        <w:rPr>
          <w:color w:val="17365D"/>
        </w:rPr>
        <w:t>。</w:t>
      </w:r>
    </w:p>
    <w:p w14:paraId="58B288C5" w14:textId="5C9358AB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前項價購公有土地之價款，以當期公告土地現值為準。地上建築改良物之價款，以稅捐稽徵機關提供之當年期評定現值為準；無該當年期評定現值者，依公產管理機關估價結果為準</w:t>
      </w:r>
      <w:r>
        <w:rPr>
          <w:color w:val="17365D"/>
        </w:rPr>
        <w:t>。</w:t>
      </w:r>
    </w:p>
    <w:p w14:paraId="3443C959" w14:textId="506D3DA6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本中心以政府機關核撥經費指定用途所購置之財產，為公有財產</w:t>
      </w:r>
      <w:r>
        <w:rPr>
          <w:color w:val="17365D"/>
        </w:rPr>
        <w:t>。</w:t>
      </w:r>
    </w:p>
    <w:p w14:paraId="33F8501C" w14:textId="5EB8450E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lastRenderedPageBreak/>
        <w:t>﹝</w:t>
      </w:r>
      <w:r w:rsidRPr="00E66A96">
        <w:rPr>
          <w:color w:val="404040" w:themeColor="text1" w:themeTint="BF"/>
          <w:sz w:val="18"/>
        </w:rPr>
        <w:t>4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第一項出租、無償提供使用及前項之公有財產以外，由本中心取得之財產為自有財產</w:t>
      </w:r>
      <w:r>
        <w:rPr>
          <w:color w:val="17365D"/>
        </w:rPr>
        <w:t>。</w:t>
      </w:r>
    </w:p>
    <w:p w14:paraId="4EE0516D" w14:textId="5E2B48DD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5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第一項無償提供使用及第三項之公有財產，由本中心登記為管理人，所生之收益，列為本中心之收入，不受國有財產法</w:t>
      </w:r>
      <w:hyperlink r:id="rId28" w:anchor="a7" w:history="1">
        <w:r w:rsidRPr="00C30AEA">
          <w:rPr>
            <w:rStyle w:val="a3"/>
            <w:rFonts w:ascii="Times New Roman" w:hAnsi="Times New Roman"/>
          </w:rPr>
          <w:t>第七條</w:t>
        </w:r>
      </w:hyperlink>
      <w:r w:rsidRPr="00E75A72">
        <w:rPr>
          <w:color w:val="17365D"/>
        </w:rPr>
        <w:t>第一項及地方政府公產管理法令相關規定之限制，其管理、使用、收益等相關事項之</w:t>
      </w:r>
      <w:hyperlink r:id="rId29" w:history="1">
        <w:r w:rsidRPr="002B31FB">
          <w:rPr>
            <w:rStyle w:val="a3"/>
            <w:rFonts w:ascii="Times New Roman" w:hAnsi="Times New Roman"/>
          </w:rPr>
          <w:t>辦法</w:t>
        </w:r>
      </w:hyperlink>
      <w:r w:rsidRPr="00E75A72">
        <w:rPr>
          <w:color w:val="17365D"/>
        </w:rPr>
        <w:t>，由監督機關定之</w:t>
      </w:r>
      <w:r>
        <w:rPr>
          <w:color w:val="17365D"/>
        </w:rPr>
        <w:t>。</w:t>
      </w:r>
    </w:p>
    <w:p w14:paraId="29CEFD44" w14:textId="5F092D83" w:rsidR="00E66A96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6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公有財產用途廢止時，應移交各級政府公產管理機關接管</w:t>
      </w:r>
      <w:r>
        <w:rPr>
          <w:color w:val="17365D"/>
        </w:rPr>
        <w:t>。</w:t>
      </w:r>
    </w:p>
    <w:p w14:paraId="7147E6D2" w14:textId="441FBD84" w:rsidR="00C77D5E" w:rsidRPr="00E75A72" w:rsidRDefault="00E66A96" w:rsidP="002B31FB">
      <w:pPr>
        <w:ind w:left="142"/>
        <w:jc w:val="both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7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本中心接受捐贈之公有不動產，不需使用時，應歸還原捐贈機關，不得任意處分。</w:t>
      </w:r>
    </w:p>
    <w:p w14:paraId="6C1413FD" w14:textId="77777777" w:rsidR="00E66A96" w:rsidRDefault="00C77D5E" w:rsidP="00C77D5E">
      <w:pPr>
        <w:pStyle w:val="2"/>
      </w:pPr>
      <w:bookmarkStart w:id="33" w:name="a28"/>
      <w:bookmarkEnd w:id="33"/>
      <w:r w:rsidRPr="00E75A72">
        <w:t>第</w:t>
      </w:r>
      <w:r w:rsidRPr="00E75A72">
        <w:t>28</w:t>
      </w:r>
      <w:r w:rsidR="00E66A96">
        <w:t>條</w:t>
      </w:r>
    </w:p>
    <w:p w14:paraId="1E562136" w14:textId="3AA57356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政府機關核撥本中心之經費，應依法定預算程序辦理，並受審計監督</w:t>
      </w:r>
      <w:r>
        <w:rPr>
          <w:color w:val="17365D"/>
        </w:rPr>
        <w:t>。</w:t>
      </w:r>
    </w:p>
    <w:p w14:paraId="5127ADA1" w14:textId="41940A57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Pr="00E75A72">
        <w:rPr>
          <w:color w:val="17365D"/>
        </w:rPr>
        <w:t>政府機關核撥之經費超過本中心當年度預算收入來源百分之五十者，應由監督機關將其年度預算書，送立法院審議</w:t>
      </w:r>
      <w:r>
        <w:rPr>
          <w:color w:val="17365D"/>
        </w:rPr>
        <w:t>。</w:t>
      </w:r>
    </w:p>
    <w:p w14:paraId="52973CAE" w14:textId="0887C717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3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本中心自主財源及其運用管理相關事項，由本中心訂定收支管理規章，報請監督機關備查。</w:t>
      </w:r>
    </w:p>
    <w:p w14:paraId="6D40AA1B" w14:textId="77777777" w:rsidR="00E66A96" w:rsidRDefault="00C77D5E" w:rsidP="00C77D5E">
      <w:pPr>
        <w:pStyle w:val="2"/>
      </w:pPr>
      <w:bookmarkStart w:id="34" w:name="a29"/>
      <w:bookmarkEnd w:id="34"/>
      <w:r w:rsidRPr="00E75A72">
        <w:t>第</w:t>
      </w:r>
      <w:r w:rsidRPr="00E75A72">
        <w:t>29</w:t>
      </w:r>
      <w:r w:rsidR="00E66A96">
        <w:t>條</w:t>
      </w:r>
    </w:p>
    <w:p w14:paraId="02F23ED5" w14:textId="41A38F4E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本中心所舉借之債務，以具自償性質者為限，並應先送監督機關核定。預算執行結果，如有不能自償之虞時，應即檢討提出改善措施，報請監督機關核定。</w:t>
      </w:r>
    </w:p>
    <w:p w14:paraId="3D8CF6C0" w14:textId="77777777" w:rsidR="00E66A96" w:rsidRDefault="00C77D5E" w:rsidP="00C77D5E">
      <w:pPr>
        <w:pStyle w:val="2"/>
      </w:pPr>
      <w:bookmarkStart w:id="35" w:name="a30"/>
      <w:bookmarkEnd w:id="35"/>
      <w:r w:rsidRPr="00C77D5E">
        <w:t>第</w:t>
      </w:r>
      <w:r w:rsidRPr="00C77D5E">
        <w:t>30</w:t>
      </w:r>
      <w:r w:rsidR="00E66A96">
        <w:t>條</w:t>
      </w:r>
    </w:p>
    <w:p w14:paraId="7972B22D" w14:textId="707A0263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本中心之採購作業，應本公開、公正之原則，除符合我國締結之條約、協定或政府採購法</w:t>
      </w:r>
      <w:hyperlink r:id="rId30" w:anchor="a4" w:history="1">
        <w:r w:rsidR="00C77D5E" w:rsidRPr="00E43507">
          <w:rPr>
            <w:rStyle w:val="a3"/>
            <w:rFonts w:ascii="Times New Roman" w:hAnsi="Times New Roman"/>
          </w:rPr>
          <w:t>第四條</w:t>
        </w:r>
      </w:hyperlink>
      <w:r w:rsidR="00C77D5E" w:rsidRPr="00E75A72">
        <w:rPr>
          <w:color w:val="17365D"/>
        </w:rPr>
        <w:t>第一項所定情形，應依各該規定辦理外，不適用</w:t>
      </w:r>
      <w:hyperlink r:id="rId31" w:history="1">
        <w:r w:rsidR="00C77D5E" w:rsidRPr="00016452">
          <w:rPr>
            <w:rStyle w:val="a3"/>
            <w:rFonts w:ascii="Times New Roman" w:hAnsi="Times New Roman"/>
          </w:rPr>
          <w:t>政府採購法</w:t>
        </w:r>
      </w:hyperlink>
      <w:r w:rsidR="00C77D5E" w:rsidRPr="00E75A72">
        <w:rPr>
          <w:color w:val="17365D"/>
        </w:rPr>
        <w:t>之規定；其採購作業實施規章，應報請監督機關核定</w:t>
      </w:r>
      <w:r>
        <w:rPr>
          <w:color w:val="17365D"/>
        </w:rPr>
        <w:t>。</w:t>
      </w:r>
    </w:p>
    <w:p w14:paraId="0C4B5ED2" w14:textId="3210C585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前項應依政府採購</w:t>
      </w:r>
      <w:r w:rsidR="00E43507" w:rsidRPr="00E75A72">
        <w:rPr>
          <w:color w:val="17365D"/>
        </w:rPr>
        <w:t>法</w:t>
      </w:r>
      <w:hyperlink r:id="rId32" w:anchor="a4" w:history="1">
        <w:r w:rsidR="00E43507" w:rsidRPr="00E43507">
          <w:rPr>
            <w:rStyle w:val="a3"/>
            <w:rFonts w:ascii="Times New Roman" w:hAnsi="Times New Roman"/>
          </w:rPr>
          <w:t>第四條</w:t>
        </w:r>
      </w:hyperlink>
      <w:r w:rsidR="00C77D5E" w:rsidRPr="00E75A72">
        <w:rPr>
          <w:color w:val="17365D"/>
        </w:rPr>
        <w:t>第一項規定辦理之採購，於其他法律另有規定者，從其規定。</w:t>
      </w:r>
    </w:p>
    <w:p w14:paraId="068AB3B1" w14:textId="77777777" w:rsidR="00E66A96" w:rsidRDefault="00C77D5E" w:rsidP="00C77D5E">
      <w:pPr>
        <w:pStyle w:val="2"/>
      </w:pPr>
      <w:bookmarkStart w:id="36" w:name="a31"/>
      <w:bookmarkEnd w:id="36"/>
      <w:r w:rsidRPr="00E75A72">
        <w:t>第</w:t>
      </w:r>
      <w:r w:rsidRPr="00E75A72">
        <w:t>31</w:t>
      </w:r>
      <w:r w:rsidR="00E66A96">
        <w:t>條</w:t>
      </w:r>
    </w:p>
    <w:p w14:paraId="15C0127D" w14:textId="700F7651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本中心之相關資訊，應依</w:t>
      </w:r>
      <w:hyperlink r:id="rId33" w:history="1">
        <w:r w:rsidR="00C77D5E" w:rsidRPr="00E43507">
          <w:rPr>
            <w:rStyle w:val="a3"/>
            <w:rFonts w:ascii="Times New Roman" w:hAnsi="Times New Roman"/>
          </w:rPr>
          <w:t>政府資訊公開法</w:t>
        </w:r>
      </w:hyperlink>
      <w:r w:rsidR="00C77D5E" w:rsidRPr="00E75A72">
        <w:rPr>
          <w:color w:val="17365D"/>
        </w:rPr>
        <w:t>相關規定公開之；其年度財務報表、年度業務資訊及年度績效評鑑報告，應主動公開</w:t>
      </w:r>
      <w:r>
        <w:rPr>
          <w:color w:val="17365D"/>
        </w:rPr>
        <w:t>。</w:t>
      </w:r>
    </w:p>
    <w:p w14:paraId="40306A10" w14:textId="296DA587" w:rsidR="00C77D5E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前項年度績效評鑑報告，應由監督機關提交分析報告，送立法院備查。必要時，立法院得要求監督機關首長率同本中心之董事長、執行長或相關主管至立法院報告營運狀況並備詢。</w:t>
      </w:r>
    </w:p>
    <w:p w14:paraId="24E2FF98" w14:textId="25A0B55F" w:rsidR="00A220E2" w:rsidRPr="00E75A72" w:rsidRDefault="00243D93" w:rsidP="00C77D5E">
      <w:pPr>
        <w:ind w:left="142"/>
        <w:rPr>
          <w:color w:val="17365D"/>
        </w:rPr>
      </w:pPr>
      <w:r w:rsidRPr="00243D93">
        <w:rPr>
          <w:color w:val="17365D"/>
          <w:sz w:val="18"/>
        </w:rPr>
        <w:t xml:space="preserve">　　　　</w:t>
      </w:r>
      <w:r w:rsidRPr="00243D93">
        <w:rPr>
          <w:rFonts w:ascii="Arial Unicode MS" w:hAnsi="Arial Unicode MS"/>
          <w:color w:val="808000"/>
          <w:sz w:val="18"/>
        </w:rPr>
        <w:t xml:space="preserve">　　　　　　　　　　　　　　　　　　　　　　　　　　　　　　　　　　　　　　　　　　　</w:t>
      </w:r>
      <w:hyperlink w:anchor="a章節索引" w:history="1">
        <w:r w:rsidRPr="003555EC">
          <w:rPr>
            <w:rStyle w:val="a3"/>
            <w:rFonts w:ascii="Arial Unicode MS" w:hAnsi="Arial Unicode MS" w:hint="eastAsia"/>
            <w:sz w:val="18"/>
          </w:rPr>
          <w:t>回索引</w:t>
        </w:r>
      </w:hyperlink>
      <w:r>
        <w:rPr>
          <w:rFonts w:ascii="Arial Unicode MS" w:hAnsi="Arial Unicode MS" w:hint="eastAsia"/>
          <w:color w:val="808000"/>
          <w:sz w:val="18"/>
        </w:rPr>
        <w:t>〉〉</w:t>
      </w:r>
    </w:p>
    <w:p w14:paraId="1C61BEA8" w14:textId="77777777" w:rsidR="00C77D5E" w:rsidRPr="00E75A72" w:rsidRDefault="00C77D5E" w:rsidP="00C77D5E">
      <w:pPr>
        <w:pStyle w:val="1"/>
      </w:pPr>
      <w:bookmarkStart w:id="37" w:name="_第五章__附則"/>
      <w:bookmarkEnd w:id="37"/>
      <w:r w:rsidRPr="00E75A72">
        <w:t>第五章　　附則</w:t>
      </w:r>
    </w:p>
    <w:p w14:paraId="75E34052" w14:textId="77777777" w:rsidR="00E66A96" w:rsidRDefault="00C77D5E" w:rsidP="00C77D5E">
      <w:pPr>
        <w:pStyle w:val="2"/>
      </w:pPr>
      <w:bookmarkStart w:id="38" w:name="a32"/>
      <w:bookmarkEnd w:id="38"/>
      <w:r w:rsidRPr="00E75A72">
        <w:t>第</w:t>
      </w:r>
      <w:r w:rsidRPr="00E75A72">
        <w:t>32</w:t>
      </w:r>
      <w:r w:rsidR="00E66A96">
        <w:t>條</w:t>
      </w:r>
    </w:p>
    <w:p w14:paraId="4E26585E" w14:textId="5DD9D2D5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對於本中心之行政處分不服者，得依</w:t>
      </w:r>
      <w:hyperlink r:id="rId34" w:history="1">
        <w:r w:rsidR="00C77D5E" w:rsidRPr="00016452">
          <w:rPr>
            <w:rStyle w:val="a3"/>
            <w:rFonts w:ascii="Times New Roman" w:hAnsi="Times New Roman"/>
          </w:rPr>
          <w:t>訴願法</w:t>
        </w:r>
      </w:hyperlink>
      <w:r w:rsidR="00C77D5E" w:rsidRPr="00E75A72">
        <w:rPr>
          <w:color w:val="17365D"/>
        </w:rPr>
        <w:t>之規定，向監督機關提起訴願。</w:t>
      </w:r>
    </w:p>
    <w:p w14:paraId="6C86CB25" w14:textId="77777777" w:rsidR="00E66A96" w:rsidRDefault="00C77D5E" w:rsidP="00C77D5E">
      <w:pPr>
        <w:pStyle w:val="2"/>
      </w:pPr>
      <w:bookmarkStart w:id="39" w:name="a33"/>
      <w:bookmarkEnd w:id="39"/>
      <w:r w:rsidRPr="00E75A72">
        <w:t>第</w:t>
      </w:r>
      <w:r w:rsidRPr="00E75A72">
        <w:t>33</w:t>
      </w:r>
      <w:r w:rsidR="00E66A96">
        <w:t>條</w:t>
      </w:r>
    </w:p>
    <w:p w14:paraId="533637F4" w14:textId="245E3A9A" w:rsidR="00E66A96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本中心因情事變更或績效不彰，致不能達成其設立目的時，由監督機關提請行政院同意後解散之</w:t>
      </w:r>
      <w:r>
        <w:rPr>
          <w:color w:val="17365D"/>
        </w:rPr>
        <w:t>。</w:t>
      </w:r>
    </w:p>
    <w:p w14:paraId="12E0D63F" w14:textId="2E7ED2DC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2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本中心解散時，其人員應終止契約；其賸餘財產歸屬國庫；其相關權利義務，由監督機關概括承受。</w:t>
      </w:r>
    </w:p>
    <w:p w14:paraId="5885B41A" w14:textId="77777777" w:rsidR="00E66A96" w:rsidRDefault="00C77D5E" w:rsidP="00C77D5E">
      <w:pPr>
        <w:pStyle w:val="2"/>
      </w:pPr>
      <w:bookmarkStart w:id="40" w:name="a34"/>
      <w:bookmarkEnd w:id="40"/>
      <w:r w:rsidRPr="00E75A72">
        <w:t>第</w:t>
      </w:r>
      <w:r w:rsidRPr="00E75A72">
        <w:t>34</w:t>
      </w:r>
      <w:r w:rsidR="00E66A96">
        <w:t>條</w:t>
      </w:r>
    </w:p>
    <w:p w14:paraId="37656B8D" w14:textId="17BCC1A9" w:rsidR="00C77D5E" w:rsidRPr="00E75A72" w:rsidRDefault="00E66A96" w:rsidP="00C77D5E">
      <w:pPr>
        <w:ind w:left="142"/>
        <w:rPr>
          <w:color w:val="17365D"/>
        </w:rPr>
      </w:pPr>
      <w:r w:rsidRPr="00E66A96">
        <w:rPr>
          <w:color w:val="404040" w:themeColor="text1" w:themeTint="BF"/>
          <w:sz w:val="18"/>
        </w:rPr>
        <w:t>﹝</w:t>
      </w:r>
      <w:r w:rsidRPr="00E66A96">
        <w:rPr>
          <w:color w:val="404040" w:themeColor="text1" w:themeTint="BF"/>
          <w:sz w:val="18"/>
        </w:rPr>
        <w:t>1</w:t>
      </w:r>
      <w:r w:rsidRPr="00E66A96">
        <w:rPr>
          <w:color w:val="404040" w:themeColor="text1" w:themeTint="BF"/>
          <w:sz w:val="18"/>
        </w:rPr>
        <w:t>﹞</w:t>
      </w:r>
      <w:r w:rsidR="00C77D5E" w:rsidRPr="00E75A72">
        <w:rPr>
          <w:color w:val="17365D"/>
        </w:rPr>
        <w:t>本條例施行日期，由行政院定之。</w:t>
      </w:r>
    </w:p>
    <w:p w14:paraId="4A797904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247D6C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5FEC7272" w14:textId="77777777" w:rsidR="00A51BA6" w:rsidRPr="00C1655B" w:rsidRDefault="00A51BA6" w:rsidP="00A51BA6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C1655B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0CEF73EE" w14:textId="4E50CDB8" w:rsidR="00431EEC" w:rsidRPr="00A51BA6" w:rsidRDefault="00A51BA6" w:rsidP="00A51BA6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92581B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</w:t>
      </w:r>
      <w:r w:rsidRPr="003D460F">
        <w:rPr>
          <w:rFonts w:hint="eastAsia"/>
          <w:color w:val="5F5F5F"/>
          <w:sz w:val="18"/>
          <w:szCs w:val="18"/>
        </w:rPr>
        <w:lastRenderedPageBreak/>
        <w:t>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35" w:history="1">
        <w:r w:rsidRPr="00D2412B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A51BA6">
      <w:footerReference w:type="even" r:id="rId36"/>
      <w:footerReference w:type="default" r:id="rId37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C532" w14:textId="77777777" w:rsidR="00B26DE5" w:rsidRDefault="00B26DE5">
      <w:r>
        <w:separator/>
      </w:r>
    </w:p>
  </w:endnote>
  <w:endnote w:type="continuationSeparator" w:id="0">
    <w:p w14:paraId="4BD79090" w14:textId="77777777" w:rsidR="00B26DE5" w:rsidRDefault="00B2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F6910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3E5D3D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EBD3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87879">
      <w:rPr>
        <w:rStyle w:val="a7"/>
        <w:noProof/>
      </w:rPr>
      <w:t>1</w:t>
    </w:r>
    <w:r>
      <w:rPr>
        <w:rStyle w:val="a7"/>
      </w:rPr>
      <w:fldChar w:fldCharType="end"/>
    </w:r>
  </w:p>
  <w:p w14:paraId="3729A6CA" w14:textId="0BE65B01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C77D5E" w:rsidRPr="00C77D5E">
      <w:rPr>
        <w:rFonts w:ascii="Arial Unicode MS" w:hAnsi="Arial Unicode MS" w:hint="eastAsia"/>
        <w:color w:val="000000"/>
        <w:sz w:val="18"/>
        <w:szCs w:val="24"/>
      </w:rPr>
      <w:t>國家運動產業發展中心設置條例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89884" w14:textId="77777777" w:rsidR="00B26DE5" w:rsidRDefault="00B26DE5">
      <w:r>
        <w:separator/>
      </w:r>
    </w:p>
  </w:footnote>
  <w:footnote w:type="continuationSeparator" w:id="0">
    <w:p w14:paraId="01BEC7D1" w14:textId="77777777" w:rsidR="00B26DE5" w:rsidRDefault="00B2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1795630908">
    <w:abstractNumId w:val="0"/>
  </w:num>
  <w:num w:numId="2" w16cid:durableId="132195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8"/>
    <w:rsid w:val="0000444A"/>
    <w:rsid w:val="00005C63"/>
    <w:rsid w:val="00010878"/>
    <w:rsid w:val="00016452"/>
    <w:rsid w:val="0003332D"/>
    <w:rsid w:val="0003470A"/>
    <w:rsid w:val="00037674"/>
    <w:rsid w:val="00041F63"/>
    <w:rsid w:val="00042240"/>
    <w:rsid w:val="000443FD"/>
    <w:rsid w:val="00051407"/>
    <w:rsid w:val="0006505D"/>
    <w:rsid w:val="0007318D"/>
    <w:rsid w:val="00087879"/>
    <w:rsid w:val="00090636"/>
    <w:rsid w:val="000A7115"/>
    <w:rsid w:val="000B3213"/>
    <w:rsid w:val="000C1DAC"/>
    <w:rsid w:val="000C50FB"/>
    <w:rsid w:val="000D31F2"/>
    <w:rsid w:val="000D710E"/>
    <w:rsid w:val="000D7583"/>
    <w:rsid w:val="000E2F7C"/>
    <w:rsid w:val="000E5F6B"/>
    <w:rsid w:val="00100662"/>
    <w:rsid w:val="0012255A"/>
    <w:rsid w:val="00123B3F"/>
    <w:rsid w:val="00132665"/>
    <w:rsid w:val="00132A11"/>
    <w:rsid w:val="001367A6"/>
    <w:rsid w:val="001415EF"/>
    <w:rsid w:val="00143B85"/>
    <w:rsid w:val="00150A79"/>
    <w:rsid w:val="00151F81"/>
    <w:rsid w:val="001662B2"/>
    <w:rsid w:val="001667BE"/>
    <w:rsid w:val="001668E9"/>
    <w:rsid w:val="00173A16"/>
    <w:rsid w:val="00177095"/>
    <w:rsid w:val="00190A29"/>
    <w:rsid w:val="00190A5C"/>
    <w:rsid w:val="001A49BA"/>
    <w:rsid w:val="001A7DEB"/>
    <w:rsid w:val="001C1F2B"/>
    <w:rsid w:val="001C258B"/>
    <w:rsid w:val="001D6830"/>
    <w:rsid w:val="001E4EAE"/>
    <w:rsid w:val="001F4C97"/>
    <w:rsid w:val="00222E53"/>
    <w:rsid w:val="002275F3"/>
    <w:rsid w:val="0024136E"/>
    <w:rsid w:val="00241BBE"/>
    <w:rsid w:val="00243D93"/>
    <w:rsid w:val="00244D8D"/>
    <w:rsid w:val="00253ED1"/>
    <w:rsid w:val="00260074"/>
    <w:rsid w:val="002614EA"/>
    <w:rsid w:val="002629B3"/>
    <w:rsid w:val="00281544"/>
    <w:rsid w:val="0028505A"/>
    <w:rsid w:val="002B31FB"/>
    <w:rsid w:val="002B4B9C"/>
    <w:rsid w:val="002B565A"/>
    <w:rsid w:val="002E3B23"/>
    <w:rsid w:val="002E6DCE"/>
    <w:rsid w:val="002F2A51"/>
    <w:rsid w:val="002F58A0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5C8"/>
    <w:rsid w:val="00373827"/>
    <w:rsid w:val="0038012F"/>
    <w:rsid w:val="00381C40"/>
    <w:rsid w:val="003B1245"/>
    <w:rsid w:val="003B13F3"/>
    <w:rsid w:val="003B4B59"/>
    <w:rsid w:val="003D35D6"/>
    <w:rsid w:val="003E3D75"/>
    <w:rsid w:val="003E54E9"/>
    <w:rsid w:val="003E7006"/>
    <w:rsid w:val="003F75CC"/>
    <w:rsid w:val="00400A90"/>
    <w:rsid w:val="004040E8"/>
    <w:rsid w:val="00411C6D"/>
    <w:rsid w:val="00431EEC"/>
    <w:rsid w:val="004339F1"/>
    <w:rsid w:val="004457D2"/>
    <w:rsid w:val="0045269A"/>
    <w:rsid w:val="00452F61"/>
    <w:rsid w:val="00490AB5"/>
    <w:rsid w:val="00494A3E"/>
    <w:rsid w:val="004A0CC8"/>
    <w:rsid w:val="004B52A7"/>
    <w:rsid w:val="004B666F"/>
    <w:rsid w:val="004B6808"/>
    <w:rsid w:val="004D1AE3"/>
    <w:rsid w:val="004D26F5"/>
    <w:rsid w:val="004D590E"/>
    <w:rsid w:val="004E21D2"/>
    <w:rsid w:val="004F73FB"/>
    <w:rsid w:val="005004A3"/>
    <w:rsid w:val="00501460"/>
    <w:rsid w:val="005075C1"/>
    <w:rsid w:val="00525129"/>
    <w:rsid w:val="005360FE"/>
    <w:rsid w:val="00561FD3"/>
    <w:rsid w:val="00565C88"/>
    <w:rsid w:val="00567A84"/>
    <w:rsid w:val="00570166"/>
    <w:rsid w:val="005805AB"/>
    <w:rsid w:val="00587BCC"/>
    <w:rsid w:val="0059434D"/>
    <w:rsid w:val="005A3BDD"/>
    <w:rsid w:val="005C7F6E"/>
    <w:rsid w:val="005C7F8A"/>
    <w:rsid w:val="005C7FF0"/>
    <w:rsid w:val="005F4657"/>
    <w:rsid w:val="00600FC3"/>
    <w:rsid w:val="006250A0"/>
    <w:rsid w:val="006254EE"/>
    <w:rsid w:val="0063000B"/>
    <w:rsid w:val="00632BB0"/>
    <w:rsid w:val="00634FBD"/>
    <w:rsid w:val="00654119"/>
    <w:rsid w:val="006631DB"/>
    <w:rsid w:val="00664DFB"/>
    <w:rsid w:val="00683312"/>
    <w:rsid w:val="006A0BBF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307BD"/>
    <w:rsid w:val="00733D34"/>
    <w:rsid w:val="007343FE"/>
    <w:rsid w:val="00755DE6"/>
    <w:rsid w:val="007720A1"/>
    <w:rsid w:val="00787B46"/>
    <w:rsid w:val="007937EC"/>
    <w:rsid w:val="00793FB9"/>
    <w:rsid w:val="007B4E78"/>
    <w:rsid w:val="007B5269"/>
    <w:rsid w:val="007C5BAB"/>
    <w:rsid w:val="007D21F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7AA9"/>
    <w:rsid w:val="008E5159"/>
    <w:rsid w:val="0091603F"/>
    <w:rsid w:val="009173AA"/>
    <w:rsid w:val="0092581B"/>
    <w:rsid w:val="00931235"/>
    <w:rsid w:val="0095145E"/>
    <w:rsid w:val="00956013"/>
    <w:rsid w:val="009566A7"/>
    <w:rsid w:val="009612D7"/>
    <w:rsid w:val="009758FD"/>
    <w:rsid w:val="0099154E"/>
    <w:rsid w:val="00991F3F"/>
    <w:rsid w:val="00995A2A"/>
    <w:rsid w:val="009D286B"/>
    <w:rsid w:val="009D54F3"/>
    <w:rsid w:val="009E0895"/>
    <w:rsid w:val="009F6433"/>
    <w:rsid w:val="00A220E2"/>
    <w:rsid w:val="00A276FD"/>
    <w:rsid w:val="00A43518"/>
    <w:rsid w:val="00A47A95"/>
    <w:rsid w:val="00A51BA6"/>
    <w:rsid w:val="00A5787E"/>
    <w:rsid w:val="00A6011A"/>
    <w:rsid w:val="00A63811"/>
    <w:rsid w:val="00A6788E"/>
    <w:rsid w:val="00A71C27"/>
    <w:rsid w:val="00A71EEA"/>
    <w:rsid w:val="00A74392"/>
    <w:rsid w:val="00A83EB0"/>
    <w:rsid w:val="00AB3534"/>
    <w:rsid w:val="00AD52B5"/>
    <w:rsid w:val="00AF1681"/>
    <w:rsid w:val="00AF2E81"/>
    <w:rsid w:val="00AF6DDB"/>
    <w:rsid w:val="00B26DE5"/>
    <w:rsid w:val="00B27F2D"/>
    <w:rsid w:val="00B51635"/>
    <w:rsid w:val="00B61B2E"/>
    <w:rsid w:val="00B61EA2"/>
    <w:rsid w:val="00B734E4"/>
    <w:rsid w:val="00B96462"/>
    <w:rsid w:val="00BA360D"/>
    <w:rsid w:val="00BA76F9"/>
    <w:rsid w:val="00BB31DC"/>
    <w:rsid w:val="00BC2A52"/>
    <w:rsid w:val="00BC70EF"/>
    <w:rsid w:val="00BF26BB"/>
    <w:rsid w:val="00C01BC3"/>
    <w:rsid w:val="00C30AEA"/>
    <w:rsid w:val="00C30DB5"/>
    <w:rsid w:val="00C357DC"/>
    <w:rsid w:val="00C358A8"/>
    <w:rsid w:val="00C42B4D"/>
    <w:rsid w:val="00C50466"/>
    <w:rsid w:val="00C5798D"/>
    <w:rsid w:val="00C601BF"/>
    <w:rsid w:val="00C77D5E"/>
    <w:rsid w:val="00C812BD"/>
    <w:rsid w:val="00C83397"/>
    <w:rsid w:val="00C953B4"/>
    <w:rsid w:val="00CF0155"/>
    <w:rsid w:val="00D01E90"/>
    <w:rsid w:val="00D027CD"/>
    <w:rsid w:val="00D046B8"/>
    <w:rsid w:val="00D2412B"/>
    <w:rsid w:val="00D244FB"/>
    <w:rsid w:val="00D2753B"/>
    <w:rsid w:val="00D27DEA"/>
    <w:rsid w:val="00D36745"/>
    <w:rsid w:val="00D36C72"/>
    <w:rsid w:val="00D409E5"/>
    <w:rsid w:val="00D66E62"/>
    <w:rsid w:val="00D81359"/>
    <w:rsid w:val="00D95AF7"/>
    <w:rsid w:val="00DC2214"/>
    <w:rsid w:val="00DD42DD"/>
    <w:rsid w:val="00DE0054"/>
    <w:rsid w:val="00E13A0E"/>
    <w:rsid w:val="00E31347"/>
    <w:rsid w:val="00E3177E"/>
    <w:rsid w:val="00E43507"/>
    <w:rsid w:val="00E44D88"/>
    <w:rsid w:val="00E623BE"/>
    <w:rsid w:val="00E63254"/>
    <w:rsid w:val="00E66A96"/>
    <w:rsid w:val="00E678EC"/>
    <w:rsid w:val="00E718BD"/>
    <w:rsid w:val="00E81351"/>
    <w:rsid w:val="00E85CE5"/>
    <w:rsid w:val="00E94405"/>
    <w:rsid w:val="00E94B1F"/>
    <w:rsid w:val="00EA20E9"/>
    <w:rsid w:val="00EB2BDE"/>
    <w:rsid w:val="00EB52F5"/>
    <w:rsid w:val="00EC1889"/>
    <w:rsid w:val="00EC1B72"/>
    <w:rsid w:val="00EF5442"/>
    <w:rsid w:val="00F126D7"/>
    <w:rsid w:val="00F14343"/>
    <w:rsid w:val="00F147DB"/>
    <w:rsid w:val="00F2026D"/>
    <w:rsid w:val="00F26B7D"/>
    <w:rsid w:val="00F3421C"/>
    <w:rsid w:val="00F43973"/>
    <w:rsid w:val="00F47A0D"/>
    <w:rsid w:val="00F602E3"/>
    <w:rsid w:val="00F70246"/>
    <w:rsid w:val="00F73000"/>
    <w:rsid w:val="00F82645"/>
    <w:rsid w:val="00F8619D"/>
    <w:rsid w:val="00F95B90"/>
    <w:rsid w:val="00FB046E"/>
    <w:rsid w:val="00FB3689"/>
    <w:rsid w:val="00FB4009"/>
    <w:rsid w:val="00FC1724"/>
    <w:rsid w:val="00FC5363"/>
    <w:rsid w:val="00FD4175"/>
    <w:rsid w:val="00FE1465"/>
    <w:rsid w:val="00FE3136"/>
    <w:rsid w:val="00FE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E18B8"/>
  <w15:docId w15:val="{C01A67DF-3848-4F69-BFC2-C62EEFF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214"/>
    <w:pPr>
      <w:widowControl w:val="0"/>
    </w:pPr>
    <w:rPr>
      <w:kern w:val="2"/>
      <w:szCs w:val="22"/>
    </w:rPr>
  </w:style>
  <w:style w:type="paragraph" w:styleId="1">
    <w:name w:val="heading 1"/>
    <w:basedOn w:val="a"/>
    <w:next w:val="a"/>
    <w:link w:val="10"/>
    <w:autoRedefine/>
    <w:qFormat/>
    <w:rsid w:val="00C77D5E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000080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C77D5E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  <w:rsid w:val="00DC221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C2214"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qFormat/>
    <w:rsid w:val="00C77D5E"/>
    <w:rPr>
      <w:rFonts w:ascii="Arial Unicode MS" w:hAnsi="Arial Unicode MS" w:cs="Arial Unicode MS"/>
      <w:b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132A11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qFormat/>
    <w:rsid w:val="00C77D5E"/>
    <w:rPr>
      <w:rFonts w:ascii="Arial Unicode MS" w:hAnsi="Arial Unicode MS" w:cs="Arial Unicode MS"/>
      <w:b/>
      <w:bCs/>
      <w:color w:val="000080"/>
      <w:kern w:val="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6laws.net/6law/law/&#22283;&#23478;&#36939;&#21205;&#29986;&#26989;&#30332;&#23637;&#20013;&#24515;&#35373;&#32622;&#26781;&#20363;.htm" TargetMode="External"/><Relationship Id="rId18" Type="http://schemas.openxmlformats.org/officeDocument/2006/relationships/hyperlink" Target="&#20844;&#32887;&#20154;&#21729;&#21033;&#30410;&#34909;&#31361;&#36852;&#36991;&#27861;.docx" TargetMode="External"/><Relationship Id="rId26" Type="http://schemas.openxmlformats.org/officeDocument/2006/relationships/hyperlink" Target="&#22283;&#26377;&#36001;&#29986;&#27861;.docx" TargetMode="External"/><Relationship Id="rId39" Type="http://schemas.openxmlformats.org/officeDocument/2006/relationships/theme" Target="theme/theme1.xml"/><Relationship Id="rId21" Type="http://schemas.openxmlformats.org/officeDocument/2006/relationships/hyperlink" Target="&#25010;&#27861;.docx" TargetMode="External"/><Relationship Id="rId34" Type="http://schemas.openxmlformats.org/officeDocument/2006/relationships/hyperlink" Target="&#35380;&#39000;&#27861;.docx" TargetMode="Externa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../S-link&#38651;&#23376;&#20845;&#27861;&#32317;&#32034;&#24341;.docx" TargetMode="External"/><Relationship Id="rId17" Type="http://schemas.openxmlformats.org/officeDocument/2006/relationships/hyperlink" Target="../law3/&#22283;&#23478;&#36939;&#21205;&#29986;&#26989;&#30332;&#23637;&#20013;&#24515;&#33891;&#20107;&#38263;&#33287;&#33891;&#20107;&#21450;&#30435;&#20107;&#36980;&#32856;&#36774;&#27861;.docx" TargetMode="External"/><Relationship Id="rId25" Type="http://schemas.openxmlformats.org/officeDocument/2006/relationships/hyperlink" Target="&#22303;&#22320;&#27861;.docx" TargetMode="External"/><Relationship Id="rId33" Type="http://schemas.openxmlformats.org/officeDocument/2006/relationships/hyperlink" Target="&#25919;&#24220;&#36039;&#35338;&#20844;&#38283;&#27861;.docx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../law3/&#22283;&#23478;&#36939;&#21205;&#29986;&#26989;&#30332;&#23637;&#20013;&#24515;&#33891;&#20107;&#38263;&#33287;&#33891;&#20107;&#21450;&#30435;&#20107;&#36980;&#32856;&#36774;&#27861;.docx" TargetMode="External"/><Relationship Id="rId20" Type="http://schemas.openxmlformats.org/officeDocument/2006/relationships/hyperlink" Target="../law3/&#22283;&#23478;&#36939;&#21205;&#29986;&#26989;&#30332;&#23637;&#20013;&#24515;&#33891;&#20107;&#30435;&#20107;&#21450;&#22519;&#34892;&#38263;&#36949;&#21453;&#21033;&#30410;&#36852;&#36991;&#34389;&#32622;&#28310;&#21063;.docx" TargetMode="External"/><Relationship Id="rId29" Type="http://schemas.openxmlformats.org/officeDocument/2006/relationships/hyperlink" Target="../law3/&#22283;&#23478;&#36939;&#21205;&#29986;&#26989;&#30332;&#23637;&#20013;&#24515;&#20844;&#26377;&#36001;&#29986;&#31649;&#29702;&#20351;&#29992;&#25910;&#30410;&#36774;&#27861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24" Type="http://schemas.openxmlformats.org/officeDocument/2006/relationships/hyperlink" Target="&#38928;&#31639;&#27861;.docx" TargetMode="External"/><Relationship Id="rId32" Type="http://schemas.openxmlformats.org/officeDocument/2006/relationships/hyperlink" Target="&#25919;&#24220;&#25505;&#36092;&#27861;.docx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&#20844;&#21209;&#20154;&#21729;&#34892;&#25919;&#20013;&#31435;&#27861;.docx" TargetMode="External"/><Relationship Id="rId23" Type="http://schemas.openxmlformats.org/officeDocument/2006/relationships/hyperlink" Target="&#38928;&#31639;&#27861;.docx" TargetMode="External"/><Relationship Id="rId28" Type="http://schemas.openxmlformats.org/officeDocument/2006/relationships/hyperlink" Target="&#22283;&#26377;&#36001;&#29986;&#27861;.docx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aw.moj.gov.tw/LawClass/LawHistory.aspx?pcode=H0000197" TargetMode="External"/><Relationship Id="rId19" Type="http://schemas.openxmlformats.org/officeDocument/2006/relationships/hyperlink" Target="&#20844;&#32887;&#20154;&#21729;&#21033;&#30410;&#34909;&#31361;&#36852;&#36991;&#27861;.docx" TargetMode="External"/><Relationship Id="rId31" Type="http://schemas.openxmlformats.org/officeDocument/2006/relationships/hyperlink" Target="&#25919;&#24220;&#25505;&#36092;&#27861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&#28040;&#36027;&#32773;&#20661;&#21209;&#28165;&#29702;&#26781;&#20363;.docx" TargetMode="External"/><Relationship Id="rId22" Type="http://schemas.openxmlformats.org/officeDocument/2006/relationships/hyperlink" Target="../law3/&#22283;&#23478;&#36939;&#21205;&#29986;&#26989;&#30332;&#23637;&#20013;&#24515;&#32318;&#25928;&#35413;&#37969;&#36774;&#27861;.docx" TargetMode="External"/><Relationship Id="rId27" Type="http://schemas.openxmlformats.org/officeDocument/2006/relationships/hyperlink" Target="&#22283;&#26377;&#36001;&#29986;&#27861;.docx" TargetMode="External"/><Relationship Id="rId30" Type="http://schemas.openxmlformats.org/officeDocument/2006/relationships/hyperlink" Target="&#25919;&#24220;&#25505;&#36092;&#27861;.docx" TargetMode="External"/><Relationship Id="rId35" Type="http://schemas.openxmlformats.org/officeDocument/2006/relationships/hyperlink" Target="https://www.6laws.net/comment.htm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6law\AppData\Roaming\Microsoft\Templates\Normal113%20-%20&#35079;&#35069;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Normal113 - 複製.dotm</Template>
  <TotalTime>129</TotalTime>
  <Pages>7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國家運動產業發展中心設置條例</dc:title>
  <dc:creator>S-link 電子六法-黃婉玲</dc:creator>
  <cp:lastModifiedBy>黃 6laws</cp:lastModifiedBy>
  <cp:revision>36</cp:revision>
  <dcterms:created xsi:type="dcterms:W3CDTF">2025-01-27T16:13:00Z</dcterms:created>
  <dcterms:modified xsi:type="dcterms:W3CDTF">2025-09-27T08:32:00Z</dcterms:modified>
</cp:coreProperties>
</file>