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2023" w14:textId="77777777" w:rsidR="000D4C99" w:rsidRDefault="000D4C99" w:rsidP="000D4C99">
      <w:pPr>
        <w:adjustRightInd w:val="0"/>
        <w:snapToGrid w:val="0"/>
        <w:ind w:rightChars="8" w:right="16"/>
        <w:jc w:val="right"/>
        <w:rPr>
          <w:rFonts w:ascii="Arial Unicode MS" w:hAnsi="Arial Unicode MS"/>
        </w:rPr>
      </w:pPr>
      <w:r>
        <w:rPr>
          <w:rFonts w:ascii="Calibri" w:hAnsi="Calibri"/>
          <w:noProof/>
          <w:color w:val="5F5F5F"/>
          <w:sz w:val="18"/>
          <w:szCs w:val="20"/>
          <w:lang w:val="zh-TW"/>
        </w:rPr>
        <w:drawing>
          <wp:inline distT="0" distB="0" distL="0" distR="0" wp14:anchorId="689DB6E5" wp14:editId="057E54A6">
            <wp:extent cx="415925" cy="415925"/>
            <wp:effectExtent l="0" t="0" r="3175" b="3175"/>
            <wp:docPr id="2" name="圖片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925" cy="415925"/>
                    </a:xfrm>
                    <a:prstGeom prst="rect">
                      <a:avLst/>
                    </a:prstGeom>
                    <a:noFill/>
                    <a:ln>
                      <a:noFill/>
                    </a:ln>
                  </pic:spPr>
                </pic:pic>
              </a:graphicData>
            </a:graphic>
          </wp:inline>
        </w:drawing>
      </w:r>
    </w:p>
    <w:p w14:paraId="247ECA9D" w14:textId="6CDF0B9D" w:rsidR="000D4C99" w:rsidRDefault="000D4C99" w:rsidP="00FB5F62">
      <w:pPr>
        <w:adjustRightInd w:val="0"/>
        <w:snapToGrid w:val="0"/>
        <w:ind w:left="480" w:rightChars="8" w:right="16" w:firstLineChars="2613" w:firstLine="4703"/>
        <w:jc w:val="right"/>
        <w:rPr>
          <w:color w:val="7F7F7F"/>
          <w:sz w:val="18"/>
          <w:szCs w:val="20"/>
        </w:rPr>
      </w:pPr>
      <w:bookmarkStart w:id="0" w:name="top"/>
      <w:bookmarkEnd w:id="0"/>
      <w:r>
        <w:rPr>
          <w:rFonts w:hint="eastAsia"/>
          <w:color w:val="5F5F5F"/>
          <w:sz w:val="18"/>
          <w:szCs w:val="20"/>
          <w:lang w:val="zh-TW"/>
        </w:rPr>
        <w:t>【</w:t>
      </w:r>
      <w:hyperlink r:id="rId9" w:tgtFrame="_blank" w:history="1">
        <w:r w:rsidRPr="00373827">
          <w:rPr>
            <w:rStyle w:val="a3"/>
            <w:sz w:val="18"/>
            <w:szCs w:val="20"/>
          </w:rPr>
          <w:t>更新</w:t>
        </w:r>
      </w:hyperlink>
      <w:r>
        <w:rPr>
          <w:rFonts w:hint="eastAsia"/>
          <w:color w:val="7F7F7F"/>
          <w:sz w:val="18"/>
          <w:szCs w:val="20"/>
          <w:lang w:val="zh-TW"/>
        </w:rPr>
        <w:t>】</w:t>
      </w:r>
      <w:r w:rsidR="00FB5F62">
        <w:rPr>
          <w:sz w:val="18"/>
        </w:rPr>
        <w:t>2025/2/18</w:t>
      </w:r>
      <w:r>
        <w:rPr>
          <w:rFonts w:hint="eastAsia"/>
          <w:color w:val="7F7F7F"/>
          <w:sz w:val="18"/>
          <w:szCs w:val="20"/>
          <w:lang w:val="zh-TW"/>
        </w:rPr>
        <w:t>【</w:t>
      </w:r>
      <w:r>
        <w:rPr>
          <w:rFonts w:hint="eastAsia"/>
          <w:color w:val="7F7F7F"/>
          <w:sz w:val="18"/>
          <w:szCs w:val="20"/>
        </w:rPr>
        <w:t>編輯著作權者</w:t>
      </w:r>
      <w:r>
        <w:rPr>
          <w:rFonts w:hint="eastAsia"/>
          <w:color w:val="7F7F7F"/>
          <w:sz w:val="18"/>
          <w:szCs w:val="20"/>
          <w:lang w:val="zh-TW"/>
        </w:rPr>
        <w:t>】</w:t>
      </w:r>
      <w:hyperlink r:id="rId10" w:tgtFrame="_blank" w:history="1">
        <w:r w:rsidRPr="00E94405">
          <w:rPr>
            <w:rStyle w:val="a3"/>
            <w:sz w:val="18"/>
            <w:szCs w:val="20"/>
          </w:rPr>
          <w:t>黃婉玲</w:t>
        </w:r>
      </w:hyperlink>
    </w:p>
    <w:p w14:paraId="2F2FB217" w14:textId="77777777" w:rsidR="000D4C99" w:rsidRPr="003555EC" w:rsidRDefault="000D4C99" w:rsidP="000D4C99">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Pr>
          <w:rFonts w:hint="eastAsia"/>
          <w:color w:val="808000"/>
          <w:sz w:val="18"/>
          <w:szCs w:val="20"/>
        </w:rPr>
        <w:t>〉檢視</w:t>
      </w:r>
      <w:r>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1" w:history="1"/>
      <w:hyperlink r:id="rId12" w:history="1"/>
    </w:p>
    <w:tbl>
      <w:tblPr>
        <w:tblW w:w="5065" w:type="pct"/>
        <w:tblCellSpacing w:w="0" w:type="dxa"/>
        <w:tblInd w:w="15" w:type="dxa"/>
        <w:tblCellMar>
          <w:left w:w="0" w:type="dxa"/>
          <w:right w:w="0" w:type="dxa"/>
        </w:tblCellMar>
        <w:tblLook w:val="0000" w:firstRow="0" w:lastRow="0" w:firstColumn="0" w:lastColumn="0" w:noHBand="0" w:noVBand="0"/>
      </w:tblPr>
      <w:tblGrid>
        <w:gridCol w:w="1435"/>
        <w:gridCol w:w="5071"/>
        <w:gridCol w:w="3544"/>
      </w:tblGrid>
      <w:tr w:rsidR="000D4C99" w:rsidRPr="003555EC" w14:paraId="1A755357" w14:textId="77777777" w:rsidTr="00F169A7">
        <w:trPr>
          <w:cantSplit/>
          <w:trHeight w:val="750"/>
          <w:tblCellSpacing w:w="0" w:type="dxa"/>
        </w:trPr>
        <w:tc>
          <w:tcPr>
            <w:tcW w:w="714" w:type="pct"/>
            <w:tcBorders>
              <w:top w:val="nil"/>
              <w:left w:val="nil"/>
              <w:bottom w:val="nil"/>
              <w:right w:val="nil"/>
            </w:tcBorders>
            <w:shd w:val="clear" w:color="auto" w:fill="CC3300"/>
            <w:vAlign w:val="center"/>
          </w:tcPr>
          <w:p w14:paraId="53CFFA04" w14:textId="77777777" w:rsidR="000D4C99" w:rsidRPr="006E3BC0" w:rsidRDefault="000D4C99" w:rsidP="00F169A7">
            <w:pPr>
              <w:ind w:leftChars="-6" w:left="-12"/>
              <w:jc w:val="center"/>
              <w:rPr>
                <w:rFonts w:ascii="Arial Unicode MS" w:hAnsi="Arial Unicode MS"/>
                <w:b/>
                <w:bCs/>
                <w:color w:val="FFFFFF"/>
                <w:szCs w:val="20"/>
              </w:rPr>
            </w:pPr>
            <w:r w:rsidRPr="00A51BA6">
              <w:rPr>
                <w:rFonts w:ascii="Arial Unicode MS" w:hAnsi="Arial Unicode MS"/>
                <w:b/>
                <w:bCs/>
                <w:color w:val="FFFFFF"/>
                <w:sz w:val="18"/>
                <w:szCs w:val="20"/>
              </w:rPr>
              <w:t>法規名稱</w:t>
            </w:r>
          </w:p>
        </w:tc>
        <w:tc>
          <w:tcPr>
            <w:tcW w:w="2523" w:type="pct"/>
            <w:tcBorders>
              <w:top w:val="nil"/>
              <w:left w:val="nil"/>
              <w:bottom w:val="nil"/>
              <w:right w:val="nil"/>
            </w:tcBorders>
            <w:shd w:val="clear" w:color="auto" w:fill="FFFAE5"/>
            <w:vAlign w:val="center"/>
          </w:tcPr>
          <w:p w14:paraId="6CB7473D" w14:textId="77777777" w:rsidR="000D4C99" w:rsidRPr="00703E61" w:rsidRDefault="000D4C99" w:rsidP="00F169A7">
            <w:pPr>
              <w:ind w:leftChars="-6" w:left="-12" w:rightChars="-6" w:right="-12"/>
              <w:jc w:val="center"/>
              <w:rPr>
                <w:rFonts w:ascii="Arial Unicode MS" w:hAnsi="Arial Unicode MS"/>
                <w:b/>
                <w:bCs/>
                <w:color w:val="000000"/>
                <w:sz w:val="28"/>
                <w:szCs w:val="28"/>
              </w:rPr>
            </w:pPr>
            <w:r w:rsidRPr="007D0826">
              <w:rPr>
                <w:rFonts w:ascii="新細明體" w:eastAsia="標楷體" w:hAnsi="新細明體" w:hint="eastAsia"/>
                <w:bCs/>
                <w:sz w:val="30"/>
                <w:szCs w:val="30"/>
                <w14:shadow w14:blurRad="50800" w14:dist="38100" w14:dir="2700000" w14:sx="100000" w14:sy="100000" w14:kx="0" w14:ky="0" w14:algn="tl">
                  <w14:srgbClr w14:val="000000">
                    <w14:alpha w14:val="60000"/>
                  </w14:srgbClr>
                </w14:shadow>
              </w:rPr>
              <w:t>國民法官法</w:t>
            </w:r>
          </w:p>
        </w:tc>
        <w:tc>
          <w:tcPr>
            <w:tcW w:w="1763" w:type="pct"/>
            <w:tcBorders>
              <w:top w:val="nil"/>
              <w:left w:val="nil"/>
              <w:bottom w:val="nil"/>
              <w:right w:val="nil"/>
            </w:tcBorders>
            <w:shd w:val="clear" w:color="auto" w:fill="FFFAE5"/>
            <w:vAlign w:val="center"/>
          </w:tcPr>
          <w:p w14:paraId="4E34DC8E" w14:textId="77777777" w:rsidR="000D4C99" w:rsidRPr="002E59EF" w:rsidRDefault="000D4C99" w:rsidP="00F169A7">
            <w:pPr>
              <w:ind w:leftChars="-6" w:left="-12"/>
              <w:jc w:val="both"/>
              <w:rPr>
                <w:rFonts w:ascii="Arial Unicode MS" w:hAnsi="Arial Unicode MS"/>
                <w:color w:val="990000"/>
              </w:rPr>
            </w:pPr>
            <w:r w:rsidRPr="002E59EF">
              <w:rPr>
                <w:rFonts w:ascii="Arial Unicode MS" w:hAnsi="Arial Unicode MS"/>
                <w:color w:val="990000"/>
              </w:rPr>
              <w:t>【</w:t>
            </w:r>
            <w:r w:rsidRPr="00F23F44">
              <w:rPr>
                <w:rFonts w:ascii="Arial Unicode MS" w:hAnsi="Arial Unicode MS" w:hint="eastAsia"/>
                <w:color w:val="993300"/>
              </w:rPr>
              <w:t>制定</w:t>
            </w:r>
            <w:r w:rsidRPr="002E59EF">
              <w:rPr>
                <w:rFonts w:ascii="Arial Unicode MS" w:hAnsi="Arial Unicode MS" w:hint="eastAsia"/>
                <w:color w:val="990000"/>
              </w:rPr>
              <w:t>日期</w:t>
            </w:r>
            <w:r w:rsidRPr="002E59EF">
              <w:rPr>
                <w:rFonts w:ascii="Arial Unicode MS" w:hAnsi="Arial Unicode MS"/>
                <w:color w:val="990000"/>
              </w:rPr>
              <w:t>】</w:t>
            </w:r>
            <w:r w:rsidRPr="00380A2D">
              <w:rPr>
                <w:rFonts w:ascii="Arial Unicode MS" w:hAnsi="Arial Unicode MS" w:hint="eastAsia"/>
                <w:color w:val="990000"/>
              </w:rPr>
              <w:t>民國</w:t>
            </w:r>
            <w:r w:rsidRPr="00380A2D">
              <w:rPr>
                <w:rFonts w:ascii="Arial Unicode MS" w:hAnsi="Arial Unicode MS" w:hint="eastAsia"/>
                <w:color w:val="990000"/>
              </w:rPr>
              <w:t>109</w:t>
            </w:r>
            <w:r w:rsidRPr="00380A2D">
              <w:rPr>
                <w:rFonts w:ascii="Arial Unicode MS" w:hAnsi="Arial Unicode MS" w:hint="eastAsia"/>
                <w:color w:val="990000"/>
              </w:rPr>
              <w:t>年</w:t>
            </w:r>
            <w:r w:rsidRPr="00380A2D">
              <w:rPr>
                <w:rFonts w:ascii="Arial Unicode MS" w:hAnsi="Arial Unicode MS" w:hint="eastAsia"/>
                <w:color w:val="990000"/>
              </w:rPr>
              <w:t>7</w:t>
            </w:r>
            <w:r w:rsidRPr="00380A2D">
              <w:rPr>
                <w:rFonts w:ascii="Arial Unicode MS" w:hAnsi="Arial Unicode MS" w:hint="eastAsia"/>
                <w:color w:val="990000"/>
              </w:rPr>
              <w:t>月</w:t>
            </w:r>
            <w:r w:rsidRPr="00380A2D">
              <w:rPr>
                <w:rFonts w:ascii="Arial Unicode MS" w:hAnsi="Arial Unicode MS" w:hint="eastAsia"/>
                <w:color w:val="990000"/>
              </w:rPr>
              <w:t>22</w:t>
            </w:r>
            <w:r w:rsidRPr="00380A2D">
              <w:rPr>
                <w:rFonts w:ascii="Arial Unicode MS" w:hAnsi="Arial Unicode MS" w:hint="eastAsia"/>
                <w:color w:val="990000"/>
              </w:rPr>
              <w:t>日</w:t>
            </w:r>
          </w:p>
          <w:p w14:paraId="5CFE14EB" w14:textId="77777777" w:rsidR="000D4C99" w:rsidRPr="003555EC" w:rsidRDefault="000D4C99" w:rsidP="00F169A7">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380A2D">
              <w:rPr>
                <w:rFonts w:ascii="Arial Unicode MS" w:hAnsi="Arial Unicode MS" w:hint="eastAsia"/>
                <w:color w:val="990000"/>
              </w:rPr>
              <w:t>民國</w:t>
            </w:r>
            <w:r w:rsidRPr="00380A2D">
              <w:rPr>
                <w:rFonts w:ascii="Arial Unicode MS" w:hAnsi="Arial Unicode MS" w:hint="eastAsia"/>
                <w:color w:val="990000"/>
              </w:rPr>
              <w:t>109</w:t>
            </w:r>
            <w:r w:rsidRPr="00380A2D">
              <w:rPr>
                <w:rFonts w:ascii="Arial Unicode MS" w:hAnsi="Arial Unicode MS" w:hint="eastAsia"/>
                <w:color w:val="990000"/>
              </w:rPr>
              <w:t>年</w:t>
            </w:r>
            <w:r>
              <w:rPr>
                <w:rFonts w:ascii="Arial Unicode MS" w:hAnsi="Arial Unicode MS"/>
                <w:color w:val="990000"/>
              </w:rPr>
              <w:t>8</w:t>
            </w:r>
            <w:r w:rsidRPr="00380A2D">
              <w:rPr>
                <w:rFonts w:ascii="Arial Unicode MS" w:hAnsi="Arial Unicode MS" w:hint="eastAsia"/>
                <w:color w:val="990000"/>
              </w:rPr>
              <w:t>月</w:t>
            </w:r>
            <w:r>
              <w:rPr>
                <w:rFonts w:ascii="Arial Unicode MS" w:hAnsi="Arial Unicode MS"/>
                <w:color w:val="990000"/>
              </w:rPr>
              <w:t>1</w:t>
            </w:r>
            <w:r w:rsidRPr="00380A2D">
              <w:rPr>
                <w:rFonts w:ascii="Arial Unicode MS" w:hAnsi="Arial Unicode MS" w:hint="eastAsia"/>
                <w:color w:val="990000"/>
              </w:rPr>
              <w:t>2</w:t>
            </w:r>
            <w:r w:rsidRPr="00380A2D">
              <w:rPr>
                <w:rFonts w:ascii="Arial Unicode MS" w:hAnsi="Arial Unicode MS" w:hint="eastAsia"/>
                <w:color w:val="990000"/>
              </w:rPr>
              <w:t>日</w:t>
            </w:r>
          </w:p>
        </w:tc>
      </w:tr>
    </w:tbl>
    <w:p w14:paraId="220AED86" w14:textId="3B217425" w:rsidR="000D4C99" w:rsidRPr="006254EE" w:rsidRDefault="008F57EB" w:rsidP="000D4C99">
      <w:pPr>
        <w:ind w:rightChars="8" w:right="16"/>
        <w:jc w:val="center"/>
        <w:rPr>
          <w:rFonts w:ascii="Arial Unicode MS" w:hAnsi="Arial Unicode MS"/>
          <w:color w:val="808080"/>
          <w:sz w:val="18"/>
          <w:u w:val="single"/>
        </w:rPr>
      </w:pPr>
      <w:hyperlink r:id="rId13" w:anchor="國民法官法" w:history="1">
        <w:r>
          <w:rPr>
            <w:rStyle w:val="a3"/>
            <w:rFonts w:ascii="Arial Unicode MS" w:hAnsi="Arial Unicode MS" w:hint="eastAsia"/>
            <w:sz w:val="18"/>
          </w:rPr>
          <w:t>相關子法</w:t>
        </w:r>
      </w:hyperlink>
      <w:r>
        <w:rPr>
          <w:rFonts w:ascii="Arial Unicode MS" w:hAnsi="Arial Unicode MS" w:hint="eastAsia"/>
          <w:b/>
          <w:color w:val="808000"/>
          <w:sz w:val="18"/>
        </w:rPr>
        <w:t>〉〉</w:t>
      </w:r>
      <w:hyperlink r:id="rId14" w:anchor="國民法官法" w:history="1">
        <w:r w:rsidR="000D4C99" w:rsidRPr="006254EE">
          <w:rPr>
            <w:rStyle w:val="a3"/>
            <w:rFonts w:ascii="Arial Unicode MS" w:hAnsi="Arial Unicode MS" w:hint="eastAsia"/>
            <w:sz w:val="18"/>
          </w:rPr>
          <w:t>S-link</w:t>
        </w:r>
        <w:r w:rsidR="000D4C99" w:rsidRPr="006254EE">
          <w:rPr>
            <w:rStyle w:val="a3"/>
            <w:rFonts w:ascii="Arial Unicode MS" w:hAnsi="Arial Unicode MS" w:hint="eastAsia"/>
            <w:sz w:val="18"/>
          </w:rPr>
          <w:t>總索引</w:t>
        </w:r>
      </w:hyperlink>
      <w:r w:rsidR="000D4C99">
        <w:rPr>
          <w:rFonts w:ascii="Arial Unicode MS" w:hAnsi="Arial Unicode MS" w:hint="eastAsia"/>
          <w:b/>
          <w:color w:val="5F5F5F"/>
          <w:sz w:val="18"/>
          <w:szCs w:val="20"/>
        </w:rPr>
        <w:t>〉〉</w:t>
      </w:r>
      <w:hyperlink r:id="rId15" w:tgtFrame="_blank" w:history="1">
        <w:r w:rsidR="000D4C99" w:rsidRPr="006254EE">
          <w:rPr>
            <w:rStyle w:val="a3"/>
            <w:rFonts w:ascii="Arial Unicode MS" w:hAnsi="Arial Unicode MS" w:hint="eastAsia"/>
            <w:sz w:val="18"/>
          </w:rPr>
          <w:t>線上網頁版</w:t>
        </w:r>
      </w:hyperlink>
      <w:r w:rsidR="000D4C99">
        <w:rPr>
          <w:rFonts w:ascii="Arial Unicode MS" w:hAnsi="Arial Unicode MS" w:hint="eastAsia"/>
          <w:b/>
          <w:color w:val="5F5F5F"/>
          <w:sz w:val="18"/>
          <w:szCs w:val="20"/>
        </w:rPr>
        <w:t>〉〉</w:t>
      </w:r>
    </w:p>
    <w:p w14:paraId="1846FB02" w14:textId="77777777" w:rsidR="000D4C99" w:rsidRPr="00F169A7" w:rsidRDefault="000D4C99" w:rsidP="00F169A7">
      <w:pPr>
        <w:pStyle w:val="1"/>
        <w:rPr>
          <w:color w:val="990000"/>
        </w:rPr>
      </w:pPr>
      <w:r w:rsidRPr="00F169A7">
        <w:rPr>
          <w:color w:val="990000"/>
        </w:rPr>
        <w:t>【</w:t>
      </w:r>
      <w:r w:rsidRPr="00F169A7">
        <w:rPr>
          <w:rFonts w:hint="eastAsia"/>
          <w:color w:val="990000"/>
        </w:rPr>
        <w:t>法規沿革</w:t>
      </w:r>
      <w:r w:rsidRPr="00F169A7">
        <w:rPr>
          <w:color w:val="990000"/>
        </w:rPr>
        <w:t>】</w:t>
      </w:r>
    </w:p>
    <w:p w14:paraId="76184095" w14:textId="40F02597" w:rsidR="000D4C99" w:rsidRPr="00E623BE" w:rsidRDefault="000D4C99" w:rsidP="00E27CA6">
      <w:pPr>
        <w:ind w:leftChars="75" w:left="150"/>
        <w:jc w:val="both"/>
        <w:rPr>
          <w:rFonts w:ascii="Arial Unicode MS" w:hAnsi="Arial Unicode MS"/>
          <w:b/>
          <w:bCs/>
          <w:color w:val="666699"/>
          <w:sz w:val="18"/>
        </w:rPr>
      </w:pPr>
      <w:r w:rsidRPr="00E27CA6">
        <w:rPr>
          <w:rFonts w:ascii="Arial Unicode MS" w:hAnsi="Arial Unicode MS" w:hint="eastAsia"/>
          <w:b/>
          <w:bCs/>
          <w:color w:val="666699"/>
          <w:sz w:val="18"/>
        </w:rPr>
        <w:t>1</w:t>
      </w:r>
      <w:r w:rsidRPr="00E27CA6">
        <w:rPr>
          <w:rFonts w:ascii="Arial Unicode MS" w:hAnsi="Arial Unicode MS" w:hint="eastAsia"/>
          <w:b/>
          <w:bCs/>
          <w:color w:val="666699"/>
          <w:sz w:val="18"/>
        </w:rPr>
        <w:t>‧</w:t>
      </w:r>
      <w:r w:rsidR="00E27CA6" w:rsidRPr="00E27CA6">
        <w:rPr>
          <w:rFonts w:ascii="Arial Unicode MS" w:hAnsi="Arial Unicode MS" w:hint="eastAsia"/>
          <w:bCs/>
          <w:color w:val="666699"/>
          <w:sz w:val="18"/>
        </w:rPr>
        <w:t>中華民國一百零九年八月十二日總統華總一義字第</w:t>
      </w:r>
      <w:r w:rsidR="00E27CA6" w:rsidRPr="00E27CA6">
        <w:rPr>
          <w:rFonts w:ascii="Arial Unicode MS" w:hAnsi="Arial Unicode MS" w:hint="eastAsia"/>
          <w:bCs/>
          <w:color w:val="666699"/>
          <w:sz w:val="18"/>
        </w:rPr>
        <w:t>10900091091</w:t>
      </w:r>
      <w:r w:rsidR="00E27CA6" w:rsidRPr="00E27CA6">
        <w:rPr>
          <w:rFonts w:ascii="Arial Unicode MS" w:hAnsi="Arial Unicode MS" w:hint="eastAsia"/>
          <w:bCs/>
          <w:color w:val="666699"/>
          <w:sz w:val="18"/>
        </w:rPr>
        <w:t>號令制定公布全文</w:t>
      </w:r>
      <w:r w:rsidR="00E27CA6" w:rsidRPr="00E27CA6">
        <w:rPr>
          <w:rFonts w:ascii="Arial Unicode MS" w:hAnsi="Arial Unicode MS" w:hint="eastAsia"/>
          <w:bCs/>
          <w:color w:val="666699"/>
          <w:sz w:val="18"/>
        </w:rPr>
        <w:t>113</w:t>
      </w:r>
      <w:r w:rsidR="00E27CA6" w:rsidRPr="00E27CA6">
        <w:rPr>
          <w:rFonts w:ascii="Arial Unicode MS" w:hAnsi="Arial Unicode MS" w:hint="eastAsia"/>
          <w:bCs/>
          <w:color w:val="666699"/>
          <w:sz w:val="18"/>
        </w:rPr>
        <w:t>條；除第</w:t>
      </w:r>
      <w:hyperlink w:anchor="a17" w:history="1">
        <w:r w:rsidR="00E27CA6" w:rsidRPr="00470913">
          <w:rPr>
            <w:rStyle w:val="a3"/>
            <w:rFonts w:ascii="Arial Unicode MS" w:hAnsi="Arial Unicode MS" w:hint="eastAsia"/>
            <w:bCs/>
            <w:sz w:val="18"/>
          </w:rPr>
          <w:t>17</w:t>
        </w:r>
      </w:hyperlink>
      <w:r w:rsidR="00E27CA6" w:rsidRPr="00E27CA6">
        <w:rPr>
          <w:rFonts w:ascii="Arial Unicode MS" w:hAnsi="Arial Unicode MS" w:hint="eastAsia"/>
          <w:bCs/>
          <w:color w:val="666699"/>
          <w:sz w:val="18"/>
        </w:rPr>
        <w:t>～</w:t>
      </w:r>
      <w:hyperlink w:anchor="a20" w:history="1">
        <w:r w:rsidR="00E27CA6" w:rsidRPr="00470913">
          <w:rPr>
            <w:rStyle w:val="a3"/>
            <w:rFonts w:ascii="Arial Unicode MS" w:hAnsi="Arial Unicode MS" w:hint="eastAsia"/>
            <w:bCs/>
            <w:sz w:val="18"/>
          </w:rPr>
          <w:t>20</w:t>
        </w:r>
      </w:hyperlink>
      <w:r w:rsidR="00E27CA6" w:rsidRPr="00E27CA6">
        <w:rPr>
          <w:rFonts w:ascii="Arial Unicode MS" w:hAnsi="Arial Unicode MS" w:hint="eastAsia"/>
          <w:bCs/>
          <w:color w:val="666699"/>
          <w:sz w:val="18"/>
        </w:rPr>
        <w:t>、</w:t>
      </w:r>
      <w:hyperlink w:anchor="a33" w:history="1">
        <w:r w:rsidR="00E27CA6" w:rsidRPr="00470913">
          <w:rPr>
            <w:rStyle w:val="a3"/>
            <w:rFonts w:ascii="Arial Unicode MS" w:hAnsi="Arial Unicode MS" w:hint="eastAsia"/>
            <w:bCs/>
            <w:sz w:val="18"/>
          </w:rPr>
          <w:t>33</w:t>
        </w:r>
      </w:hyperlink>
      <w:r w:rsidR="00E27CA6" w:rsidRPr="00E27CA6">
        <w:rPr>
          <w:rFonts w:ascii="Arial Unicode MS" w:hAnsi="Arial Unicode MS" w:hint="eastAsia"/>
          <w:bCs/>
          <w:color w:val="666699"/>
          <w:sz w:val="18"/>
        </w:rPr>
        <w:t>條自公布日施行，</w:t>
      </w:r>
      <w:hyperlink w:anchor="a5" w:history="1">
        <w:r w:rsidR="00E27CA6" w:rsidRPr="00470913">
          <w:rPr>
            <w:rStyle w:val="a3"/>
            <w:rFonts w:ascii="Arial Unicode MS" w:hAnsi="Arial Unicode MS" w:hint="eastAsia"/>
            <w:bCs/>
            <w:sz w:val="18"/>
          </w:rPr>
          <w:t>第</w:t>
        </w:r>
        <w:r w:rsidR="00E27CA6" w:rsidRPr="00470913">
          <w:rPr>
            <w:rStyle w:val="a3"/>
            <w:rFonts w:ascii="Arial Unicode MS" w:hAnsi="Arial Unicode MS" w:hint="eastAsia"/>
            <w:bCs/>
            <w:sz w:val="18"/>
          </w:rPr>
          <w:t>5</w:t>
        </w:r>
        <w:r w:rsidR="00E27CA6" w:rsidRPr="00470913">
          <w:rPr>
            <w:rStyle w:val="a3"/>
            <w:rFonts w:ascii="Arial Unicode MS" w:hAnsi="Arial Unicode MS" w:hint="eastAsia"/>
            <w:bCs/>
            <w:sz w:val="18"/>
          </w:rPr>
          <w:t>條</w:t>
        </w:r>
      </w:hyperlink>
      <w:r w:rsidR="00E27CA6" w:rsidRPr="00E27CA6">
        <w:rPr>
          <w:rFonts w:ascii="Arial Unicode MS" w:hAnsi="Arial Unicode MS" w:hint="eastAsia"/>
          <w:bCs/>
          <w:color w:val="666699"/>
          <w:sz w:val="18"/>
        </w:rPr>
        <w:t>第</w:t>
      </w:r>
      <w:r w:rsidR="00E27CA6" w:rsidRPr="00E27CA6">
        <w:rPr>
          <w:rFonts w:ascii="Arial Unicode MS" w:hAnsi="Arial Unicode MS" w:hint="eastAsia"/>
          <w:bCs/>
          <w:color w:val="666699"/>
          <w:sz w:val="18"/>
        </w:rPr>
        <w:t>1</w:t>
      </w:r>
      <w:r w:rsidR="00E27CA6" w:rsidRPr="00E27CA6">
        <w:rPr>
          <w:rFonts w:ascii="Arial Unicode MS" w:hAnsi="Arial Unicode MS" w:hint="eastAsia"/>
          <w:bCs/>
          <w:color w:val="666699"/>
          <w:sz w:val="18"/>
        </w:rPr>
        <w:t>項第</w:t>
      </w:r>
      <w:r w:rsidR="00E27CA6" w:rsidRPr="00E27CA6">
        <w:rPr>
          <w:rFonts w:ascii="Arial Unicode MS" w:hAnsi="Arial Unicode MS" w:hint="eastAsia"/>
          <w:bCs/>
          <w:color w:val="666699"/>
          <w:sz w:val="18"/>
        </w:rPr>
        <w:t>1</w:t>
      </w:r>
      <w:r w:rsidR="00E27CA6" w:rsidRPr="00E27CA6">
        <w:rPr>
          <w:rFonts w:ascii="Arial Unicode MS" w:hAnsi="Arial Unicode MS" w:hint="eastAsia"/>
          <w:bCs/>
          <w:color w:val="666699"/>
          <w:sz w:val="18"/>
        </w:rPr>
        <w:t>款自一百十五年一月一日施行外，其餘條文自一百十二年一月一日施行</w:t>
      </w:r>
    </w:p>
    <w:p w14:paraId="1B729190" w14:textId="77777777" w:rsidR="000D4C99" w:rsidRPr="003B6E03" w:rsidRDefault="000D4C99" w:rsidP="000D4C99">
      <w:pPr>
        <w:ind w:leftChars="75" w:left="150"/>
        <w:jc w:val="both"/>
        <w:rPr>
          <w:rFonts w:ascii="Arial Unicode MS" w:hAnsi="Arial Unicode MS"/>
          <w:bCs/>
          <w:color w:val="666699"/>
          <w:sz w:val="18"/>
        </w:rPr>
      </w:pPr>
    </w:p>
    <w:p w14:paraId="77B7CB96" w14:textId="77777777" w:rsidR="00845988" w:rsidRPr="00F169A7" w:rsidRDefault="00845988" w:rsidP="00F169A7">
      <w:pPr>
        <w:pStyle w:val="1"/>
        <w:rPr>
          <w:color w:val="990000"/>
        </w:rPr>
      </w:pPr>
      <w:bookmarkStart w:id="1" w:name="a章節索引"/>
      <w:bookmarkEnd w:id="1"/>
      <w:r w:rsidRPr="00F169A7">
        <w:rPr>
          <w:color w:val="990000"/>
        </w:rPr>
        <w:t>【</w:t>
      </w:r>
      <w:r w:rsidRPr="00F169A7">
        <w:rPr>
          <w:rFonts w:hint="eastAsia"/>
          <w:color w:val="990000"/>
        </w:rPr>
        <w:t>章節索引</w:t>
      </w:r>
      <w:r w:rsidRPr="00F169A7">
        <w:rPr>
          <w:color w:val="990000"/>
        </w:rPr>
        <w:t>】</w:t>
      </w:r>
    </w:p>
    <w:p w14:paraId="04275236" w14:textId="234621D1"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color w:val="990000"/>
        </w:rPr>
        <w:t xml:space="preserve">第一章　</w:t>
      </w:r>
      <w:hyperlink w:anchor="_第一章__總" w:history="1">
        <w:r w:rsidRPr="00A47BE3">
          <w:rPr>
            <w:rStyle w:val="a3"/>
            <w:rFonts w:ascii="Arial Unicode MS" w:hAnsi="Arial Unicode MS" w:hint="eastAsia"/>
          </w:rPr>
          <w:t>總則</w:t>
        </w:r>
      </w:hyperlink>
      <w:r w:rsidRPr="00E27CA6">
        <w:rPr>
          <w:rFonts w:ascii="Arial Unicode MS" w:hAnsi="Arial Unicode MS" w:hint="eastAsia"/>
          <w:color w:val="990000"/>
        </w:rPr>
        <w:t xml:space="preserve">　§</w:t>
      </w:r>
      <w:r w:rsidRPr="00E27CA6">
        <w:rPr>
          <w:rFonts w:ascii="Arial Unicode MS" w:hAnsi="Arial Unicode MS" w:hint="eastAsia"/>
          <w:color w:val="990000"/>
        </w:rPr>
        <w:t>1</w:t>
      </w:r>
    </w:p>
    <w:p w14:paraId="7389A101" w14:textId="67D7F2C8"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color w:val="990000"/>
        </w:rPr>
        <w:t xml:space="preserve">第二章　</w:t>
      </w:r>
      <w:hyperlink w:anchor="_第二章__適用案件及管轄" w:history="1">
        <w:r w:rsidRPr="00A47BE3">
          <w:rPr>
            <w:rStyle w:val="a3"/>
            <w:rFonts w:ascii="Arial Unicode MS" w:hAnsi="Arial Unicode MS" w:hint="eastAsia"/>
          </w:rPr>
          <w:t>適用案件及管轄</w:t>
        </w:r>
      </w:hyperlink>
      <w:r w:rsidRPr="00E27CA6">
        <w:rPr>
          <w:rFonts w:ascii="Arial Unicode MS" w:hAnsi="Arial Unicode MS" w:hint="eastAsia"/>
          <w:color w:val="990000"/>
        </w:rPr>
        <w:t xml:space="preserve">　§</w:t>
      </w:r>
      <w:r w:rsidR="00A47BE3">
        <w:rPr>
          <w:rFonts w:ascii="Arial Unicode MS" w:hAnsi="Arial Unicode MS"/>
          <w:color w:val="990000"/>
        </w:rPr>
        <w:t>5</w:t>
      </w:r>
    </w:p>
    <w:p w14:paraId="330E21DA" w14:textId="77777777" w:rsidR="00E27CA6" w:rsidRDefault="00E27CA6" w:rsidP="00E27CA6">
      <w:pPr>
        <w:ind w:leftChars="59" w:left="118"/>
        <w:rPr>
          <w:rFonts w:ascii="Arial Unicode MS" w:hAnsi="Arial Unicode MS"/>
          <w:color w:val="990000"/>
        </w:rPr>
      </w:pPr>
      <w:r w:rsidRPr="00E27CA6">
        <w:rPr>
          <w:rFonts w:ascii="Arial Unicode MS" w:hAnsi="Arial Unicode MS" w:hint="eastAsia"/>
          <w:color w:val="990000"/>
        </w:rPr>
        <w:t>第三章　國民法官及備位國民法官</w:t>
      </w:r>
    </w:p>
    <w:p w14:paraId="52911968" w14:textId="36FDD8D0"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第一節　</w:t>
      </w:r>
      <w:hyperlink w:anchor="_第三章__國民法官及備位國民法官" w:history="1">
        <w:r w:rsidRPr="00A47BE3">
          <w:rPr>
            <w:rStyle w:val="a3"/>
            <w:rFonts w:ascii="Arial Unicode MS" w:hAnsi="Arial Unicode MS" w:hint="eastAsia"/>
          </w:rPr>
          <w:t>通則</w:t>
        </w:r>
      </w:hyperlink>
      <w:r w:rsidRPr="00E27CA6">
        <w:rPr>
          <w:rFonts w:ascii="Arial Unicode MS" w:hAnsi="Arial Unicode MS" w:hint="eastAsia"/>
          <w:color w:val="990000"/>
        </w:rPr>
        <w:t xml:space="preserve">　§</w:t>
      </w:r>
      <w:r w:rsidR="005B4510">
        <w:rPr>
          <w:rFonts w:ascii="Arial Unicode MS" w:hAnsi="Arial Unicode MS"/>
          <w:color w:val="990000"/>
        </w:rPr>
        <w:t>8</w:t>
      </w:r>
    </w:p>
    <w:p w14:paraId="2388952F" w14:textId="71FBA339"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第二節　</w:t>
      </w:r>
      <w:hyperlink w:anchor="_第三章__國民法官及備位國民法官_1" w:history="1">
        <w:r w:rsidRPr="00CC00AD">
          <w:rPr>
            <w:rStyle w:val="a3"/>
            <w:rFonts w:ascii="Arial Unicode MS" w:hAnsi="Arial Unicode MS" w:hint="eastAsia"/>
          </w:rPr>
          <w:t>國民法官及備位國民法官之資格</w:t>
        </w:r>
      </w:hyperlink>
      <w:r w:rsidRPr="00E27CA6">
        <w:rPr>
          <w:rFonts w:ascii="Arial Unicode MS" w:hAnsi="Arial Unicode MS" w:hint="eastAsia"/>
          <w:color w:val="990000"/>
        </w:rPr>
        <w:t xml:space="preserve">　§</w:t>
      </w:r>
      <w:r w:rsidRPr="00E27CA6">
        <w:rPr>
          <w:rFonts w:ascii="Arial Unicode MS" w:hAnsi="Arial Unicode MS" w:hint="eastAsia"/>
          <w:color w:val="990000"/>
        </w:rPr>
        <w:t>1</w:t>
      </w:r>
      <w:r w:rsidR="00CC00AD">
        <w:rPr>
          <w:rFonts w:ascii="Arial Unicode MS" w:hAnsi="Arial Unicode MS"/>
          <w:color w:val="990000"/>
        </w:rPr>
        <w:t>2</w:t>
      </w:r>
    </w:p>
    <w:p w14:paraId="49CFF3DB" w14:textId="0F1FF42A"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第三節　</w:t>
      </w:r>
      <w:hyperlink w:anchor="_第三章__國民法官及備位國民法官_2" w:history="1">
        <w:r w:rsidRPr="00CC00AD">
          <w:rPr>
            <w:rStyle w:val="a3"/>
            <w:rFonts w:ascii="Arial Unicode MS" w:hAnsi="Arial Unicode MS" w:hint="eastAsia"/>
          </w:rPr>
          <w:t>國民法官及備位國民法官之選任</w:t>
        </w:r>
      </w:hyperlink>
      <w:r w:rsidRPr="00E27CA6">
        <w:rPr>
          <w:rFonts w:ascii="Arial Unicode MS" w:hAnsi="Arial Unicode MS" w:hint="eastAsia"/>
          <w:color w:val="990000"/>
        </w:rPr>
        <w:t xml:space="preserve">　§</w:t>
      </w:r>
      <w:r w:rsidRPr="00E27CA6">
        <w:rPr>
          <w:rFonts w:ascii="Arial Unicode MS" w:hAnsi="Arial Unicode MS" w:hint="eastAsia"/>
          <w:color w:val="990000"/>
        </w:rPr>
        <w:t>1</w:t>
      </w:r>
      <w:r w:rsidR="00CC00AD">
        <w:rPr>
          <w:rFonts w:ascii="Arial Unicode MS" w:hAnsi="Arial Unicode MS"/>
          <w:color w:val="990000"/>
        </w:rPr>
        <w:t>7</w:t>
      </w:r>
    </w:p>
    <w:p w14:paraId="49CAF2D9" w14:textId="01814460"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第四節　</w:t>
      </w:r>
      <w:hyperlink w:anchor="_第三章__國民法官及備位國民法官_3" w:history="1">
        <w:r w:rsidRPr="00CC00AD">
          <w:rPr>
            <w:rStyle w:val="a3"/>
            <w:rFonts w:ascii="Arial Unicode MS" w:hAnsi="Arial Unicode MS" w:hint="eastAsia"/>
          </w:rPr>
          <w:t>國民法官及備位國民法官之解任</w:t>
        </w:r>
      </w:hyperlink>
      <w:r w:rsidRPr="00E27CA6">
        <w:rPr>
          <w:rFonts w:ascii="Arial Unicode MS" w:hAnsi="Arial Unicode MS" w:hint="eastAsia"/>
          <w:color w:val="990000"/>
        </w:rPr>
        <w:t xml:space="preserve">　§</w:t>
      </w:r>
      <w:r w:rsidR="00CC00AD">
        <w:rPr>
          <w:rFonts w:ascii="Arial Unicode MS" w:hAnsi="Arial Unicode MS"/>
          <w:color w:val="990000"/>
        </w:rPr>
        <w:t>35</w:t>
      </w:r>
    </w:p>
    <w:p w14:paraId="09D343F4" w14:textId="4B771AD5"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第五節　</w:t>
      </w:r>
      <w:hyperlink w:anchor="_第三章__國民法官及備位國民法官_4" w:history="1">
        <w:r w:rsidRPr="00CC00AD">
          <w:rPr>
            <w:rStyle w:val="a3"/>
            <w:rFonts w:ascii="Arial Unicode MS" w:hAnsi="Arial Unicode MS" w:hint="eastAsia"/>
          </w:rPr>
          <w:t>國民法官、備位國民法官及候選國民法官之保護</w:t>
        </w:r>
      </w:hyperlink>
      <w:r w:rsidRPr="00E27CA6">
        <w:rPr>
          <w:rFonts w:ascii="Arial Unicode MS" w:hAnsi="Arial Unicode MS" w:hint="eastAsia"/>
          <w:color w:val="990000"/>
        </w:rPr>
        <w:t xml:space="preserve">　§</w:t>
      </w:r>
      <w:r w:rsidR="00CC00AD">
        <w:rPr>
          <w:rFonts w:ascii="Arial Unicode MS" w:hAnsi="Arial Unicode MS"/>
          <w:color w:val="990000"/>
        </w:rPr>
        <w:t>39</w:t>
      </w:r>
    </w:p>
    <w:p w14:paraId="08E2A84F" w14:textId="5229F8E7"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color w:val="990000"/>
        </w:rPr>
        <w:t>第四章　審理程序</w:t>
      </w:r>
    </w:p>
    <w:p w14:paraId="7A5F88CE" w14:textId="6C4B642C"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第一節　</w:t>
      </w:r>
      <w:hyperlink w:anchor="_第四章__審理程序" w:history="1">
        <w:r w:rsidRPr="00CC00AD">
          <w:rPr>
            <w:rStyle w:val="a3"/>
            <w:rFonts w:ascii="Arial Unicode MS" w:hAnsi="Arial Unicode MS" w:hint="eastAsia"/>
          </w:rPr>
          <w:t>起訴</w:t>
        </w:r>
      </w:hyperlink>
      <w:r w:rsidRPr="00E27CA6">
        <w:rPr>
          <w:rFonts w:ascii="Arial Unicode MS" w:hAnsi="Arial Unicode MS" w:hint="eastAsia"/>
          <w:color w:val="990000"/>
        </w:rPr>
        <w:t xml:space="preserve">　§</w:t>
      </w:r>
      <w:r w:rsidR="00CC00AD">
        <w:rPr>
          <w:rFonts w:ascii="Arial Unicode MS" w:hAnsi="Arial Unicode MS"/>
          <w:color w:val="990000"/>
        </w:rPr>
        <w:t>43</w:t>
      </w:r>
    </w:p>
    <w:p w14:paraId="3E104A30" w14:textId="0FFF1D21"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第二節　</w:t>
      </w:r>
      <w:hyperlink w:anchor="_第四章__審理程序_1" w:history="1">
        <w:r w:rsidRPr="00CC00AD">
          <w:rPr>
            <w:rStyle w:val="a3"/>
            <w:rFonts w:ascii="Arial Unicode MS" w:hAnsi="Arial Unicode MS" w:hint="eastAsia"/>
          </w:rPr>
          <w:t>基本原則</w:t>
        </w:r>
      </w:hyperlink>
      <w:r w:rsidRPr="00E27CA6">
        <w:rPr>
          <w:rFonts w:ascii="Arial Unicode MS" w:hAnsi="Arial Unicode MS" w:hint="eastAsia"/>
          <w:color w:val="990000"/>
        </w:rPr>
        <w:t xml:space="preserve">　§</w:t>
      </w:r>
      <w:r w:rsidR="00CC00AD">
        <w:rPr>
          <w:rFonts w:ascii="Arial Unicode MS" w:hAnsi="Arial Unicode MS"/>
          <w:color w:val="990000"/>
        </w:rPr>
        <w:t>44</w:t>
      </w:r>
    </w:p>
    <w:p w14:paraId="11FAD6F3" w14:textId="1EB23659"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第三節　</w:t>
      </w:r>
      <w:hyperlink w:anchor="_第四章__審理程序_2" w:history="1">
        <w:r w:rsidRPr="00BC30C3">
          <w:rPr>
            <w:rStyle w:val="a3"/>
            <w:rFonts w:ascii="Arial Unicode MS" w:hAnsi="Arial Unicode MS" w:hint="eastAsia"/>
          </w:rPr>
          <w:t>準備程序</w:t>
        </w:r>
      </w:hyperlink>
      <w:r w:rsidRPr="00E27CA6">
        <w:rPr>
          <w:rFonts w:ascii="Arial Unicode MS" w:hAnsi="Arial Unicode MS" w:hint="eastAsia"/>
          <w:color w:val="990000"/>
        </w:rPr>
        <w:t xml:space="preserve">　§</w:t>
      </w:r>
      <w:r w:rsidR="00BC30C3">
        <w:rPr>
          <w:rFonts w:ascii="Arial Unicode MS" w:hAnsi="Arial Unicode MS"/>
          <w:color w:val="990000"/>
        </w:rPr>
        <w:t>47</w:t>
      </w:r>
    </w:p>
    <w:p w14:paraId="5F14F501" w14:textId="1A7E4F6C"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第四節　</w:t>
      </w:r>
      <w:hyperlink w:anchor="_第四章__審理程序_3" w:history="1">
        <w:r w:rsidRPr="00BC30C3">
          <w:rPr>
            <w:rStyle w:val="a3"/>
            <w:rFonts w:ascii="Arial Unicode MS" w:hAnsi="Arial Unicode MS" w:hint="eastAsia"/>
          </w:rPr>
          <w:t>審判期日</w:t>
        </w:r>
      </w:hyperlink>
      <w:r w:rsidRPr="00E27CA6">
        <w:rPr>
          <w:rFonts w:ascii="Arial Unicode MS" w:hAnsi="Arial Unicode MS" w:hint="eastAsia"/>
          <w:color w:val="990000"/>
        </w:rPr>
        <w:t xml:space="preserve">　§</w:t>
      </w:r>
      <w:r w:rsidR="00BC30C3">
        <w:rPr>
          <w:rFonts w:ascii="Arial Unicode MS" w:hAnsi="Arial Unicode MS"/>
          <w:color w:val="990000"/>
        </w:rPr>
        <w:t>65</w:t>
      </w:r>
    </w:p>
    <w:p w14:paraId="42080134" w14:textId="4A3A87E7"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第五節　</w:t>
      </w:r>
      <w:hyperlink w:anchor="_第四章__審理程序_4" w:history="1">
        <w:r w:rsidRPr="00D1191F">
          <w:rPr>
            <w:rStyle w:val="a3"/>
            <w:rFonts w:ascii="Arial Unicode MS" w:hAnsi="Arial Unicode MS" w:hint="eastAsia"/>
          </w:rPr>
          <w:t>終局評議及判決</w:t>
        </w:r>
      </w:hyperlink>
      <w:r w:rsidRPr="00E27CA6">
        <w:rPr>
          <w:rFonts w:ascii="Arial Unicode MS" w:hAnsi="Arial Unicode MS" w:hint="eastAsia"/>
          <w:color w:val="990000"/>
        </w:rPr>
        <w:t xml:space="preserve">　§</w:t>
      </w:r>
      <w:r w:rsidR="00D1191F">
        <w:rPr>
          <w:rFonts w:ascii="Arial Unicode MS" w:hAnsi="Arial Unicode MS" w:hint="eastAsia"/>
          <w:color w:val="990000"/>
        </w:rPr>
        <w:t>8</w:t>
      </w:r>
      <w:r w:rsidRPr="00E27CA6">
        <w:rPr>
          <w:rFonts w:ascii="Arial Unicode MS" w:hAnsi="Arial Unicode MS" w:hint="eastAsia"/>
          <w:color w:val="990000"/>
        </w:rPr>
        <w:t>1</w:t>
      </w:r>
    </w:p>
    <w:p w14:paraId="4822F990" w14:textId="7A038F2E"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第六節　</w:t>
      </w:r>
      <w:hyperlink w:anchor="_第四章__審理程序_5" w:history="1">
        <w:r w:rsidRPr="00032FAC">
          <w:rPr>
            <w:rStyle w:val="a3"/>
            <w:rFonts w:ascii="Arial Unicode MS" w:hAnsi="Arial Unicode MS" w:hint="eastAsia"/>
          </w:rPr>
          <w:t>上訴</w:t>
        </w:r>
      </w:hyperlink>
      <w:r w:rsidRPr="00E27CA6">
        <w:rPr>
          <w:rFonts w:ascii="Arial Unicode MS" w:hAnsi="Arial Unicode MS" w:hint="eastAsia"/>
          <w:color w:val="990000"/>
        </w:rPr>
        <w:t xml:space="preserve">　§</w:t>
      </w:r>
      <w:r w:rsidR="00032FAC">
        <w:rPr>
          <w:rFonts w:ascii="Arial Unicode MS" w:hAnsi="Arial Unicode MS"/>
          <w:color w:val="990000"/>
        </w:rPr>
        <w:t>89</w:t>
      </w:r>
    </w:p>
    <w:p w14:paraId="00CCE2B5" w14:textId="46F6CD9B"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b/>
          <w:color w:val="990000"/>
        </w:rPr>
        <w:t>》</w:t>
      </w:r>
      <w:r w:rsidRPr="00E27CA6">
        <w:rPr>
          <w:rFonts w:ascii="Arial Unicode MS" w:hAnsi="Arial Unicode MS" w:hint="eastAsia"/>
          <w:color w:val="990000"/>
        </w:rPr>
        <w:t xml:space="preserve">第七節　</w:t>
      </w:r>
      <w:hyperlink w:anchor="_第四章__審理程序_6" w:history="1">
        <w:r w:rsidRPr="00032FAC">
          <w:rPr>
            <w:rStyle w:val="a3"/>
            <w:rFonts w:ascii="Arial Unicode MS" w:hAnsi="Arial Unicode MS" w:hint="eastAsia"/>
          </w:rPr>
          <w:t>再審</w:t>
        </w:r>
      </w:hyperlink>
      <w:r w:rsidRPr="00E27CA6">
        <w:rPr>
          <w:rFonts w:ascii="Arial Unicode MS" w:hAnsi="Arial Unicode MS" w:hint="eastAsia"/>
          <w:color w:val="990000"/>
        </w:rPr>
        <w:t xml:space="preserve">　§</w:t>
      </w:r>
      <w:r w:rsidR="00032FAC">
        <w:rPr>
          <w:rFonts w:ascii="Arial Unicode MS" w:hAnsi="Arial Unicode MS"/>
          <w:color w:val="990000"/>
        </w:rPr>
        <w:t>93</w:t>
      </w:r>
    </w:p>
    <w:p w14:paraId="4F21E19D" w14:textId="3A701D3B"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color w:val="990000"/>
        </w:rPr>
        <w:t xml:space="preserve">第五章　</w:t>
      </w:r>
      <w:hyperlink w:anchor="_第五章__罰" w:history="1">
        <w:r w:rsidRPr="00893D95">
          <w:rPr>
            <w:rStyle w:val="a3"/>
            <w:rFonts w:ascii="Arial Unicode MS" w:hAnsi="Arial Unicode MS" w:hint="eastAsia"/>
          </w:rPr>
          <w:t>罰則</w:t>
        </w:r>
      </w:hyperlink>
      <w:r w:rsidRPr="00E27CA6">
        <w:rPr>
          <w:rFonts w:ascii="Arial Unicode MS" w:hAnsi="Arial Unicode MS" w:hint="eastAsia"/>
          <w:color w:val="990000"/>
        </w:rPr>
        <w:t xml:space="preserve">　§</w:t>
      </w:r>
      <w:r w:rsidR="00893D95">
        <w:rPr>
          <w:rFonts w:ascii="Arial Unicode MS" w:hAnsi="Arial Unicode MS"/>
          <w:color w:val="990000"/>
        </w:rPr>
        <w:t>94</w:t>
      </w:r>
    </w:p>
    <w:p w14:paraId="61D93626" w14:textId="672EFA1C" w:rsidR="00E27CA6" w:rsidRPr="00E27CA6" w:rsidRDefault="00E27CA6" w:rsidP="00E27CA6">
      <w:pPr>
        <w:ind w:leftChars="59" w:left="118"/>
        <w:rPr>
          <w:rFonts w:ascii="Arial Unicode MS" w:hAnsi="Arial Unicode MS"/>
          <w:color w:val="990000"/>
        </w:rPr>
      </w:pPr>
      <w:r w:rsidRPr="00E27CA6">
        <w:rPr>
          <w:rFonts w:ascii="Arial Unicode MS" w:hAnsi="Arial Unicode MS" w:hint="eastAsia"/>
          <w:color w:val="990000"/>
        </w:rPr>
        <w:t xml:space="preserve">第六章　</w:t>
      </w:r>
      <w:hyperlink w:anchor="_第六章__國民參與審判制度成效評估" w:history="1">
        <w:r w:rsidRPr="0030179C">
          <w:rPr>
            <w:rStyle w:val="a3"/>
            <w:rFonts w:ascii="Arial Unicode MS" w:hAnsi="Arial Unicode MS" w:hint="eastAsia"/>
          </w:rPr>
          <w:t>國民參與審判制度成效評估</w:t>
        </w:r>
      </w:hyperlink>
      <w:r w:rsidRPr="00E27CA6">
        <w:rPr>
          <w:rFonts w:ascii="Arial Unicode MS" w:hAnsi="Arial Unicode MS" w:hint="eastAsia"/>
          <w:color w:val="990000"/>
        </w:rPr>
        <w:t xml:space="preserve">　§</w:t>
      </w:r>
      <w:r w:rsidRPr="00E27CA6">
        <w:rPr>
          <w:rFonts w:ascii="Arial Unicode MS" w:hAnsi="Arial Unicode MS" w:hint="eastAsia"/>
          <w:color w:val="990000"/>
        </w:rPr>
        <w:t>1</w:t>
      </w:r>
      <w:r w:rsidR="0030179C">
        <w:rPr>
          <w:rFonts w:ascii="Arial Unicode MS" w:hAnsi="Arial Unicode MS"/>
          <w:color w:val="990000"/>
        </w:rPr>
        <w:t>04</w:t>
      </w:r>
    </w:p>
    <w:p w14:paraId="602BF538" w14:textId="2C2CBE26" w:rsidR="005A3BDD" w:rsidRPr="00E27CA6" w:rsidRDefault="00E27CA6" w:rsidP="0099154E">
      <w:pPr>
        <w:ind w:leftChars="59" w:left="118"/>
        <w:rPr>
          <w:rFonts w:ascii="Arial Unicode MS" w:hAnsi="Arial Unicode MS"/>
          <w:color w:val="990000"/>
        </w:rPr>
      </w:pPr>
      <w:r w:rsidRPr="00E27CA6">
        <w:rPr>
          <w:rFonts w:ascii="Arial Unicode MS" w:hAnsi="Arial Unicode MS" w:hint="eastAsia"/>
          <w:color w:val="990000"/>
        </w:rPr>
        <w:t xml:space="preserve">第七章　</w:t>
      </w:r>
      <w:hyperlink w:anchor="_第七章__附則" w:history="1">
        <w:r w:rsidRPr="0030179C">
          <w:rPr>
            <w:rStyle w:val="a3"/>
            <w:rFonts w:ascii="Arial Unicode MS" w:hAnsi="Arial Unicode MS" w:hint="eastAsia"/>
          </w:rPr>
          <w:t>附則</w:t>
        </w:r>
      </w:hyperlink>
      <w:r w:rsidRPr="00E27CA6">
        <w:rPr>
          <w:rFonts w:ascii="Arial Unicode MS" w:hAnsi="Arial Unicode MS" w:hint="eastAsia"/>
          <w:color w:val="990000"/>
        </w:rPr>
        <w:t xml:space="preserve">　§</w:t>
      </w:r>
      <w:r w:rsidRPr="00E27CA6">
        <w:rPr>
          <w:rFonts w:ascii="Arial Unicode MS" w:hAnsi="Arial Unicode MS" w:hint="eastAsia"/>
          <w:color w:val="990000"/>
        </w:rPr>
        <w:t>1</w:t>
      </w:r>
      <w:r w:rsidR="0030179C">
        <w:rPr>
          <w:rFonts w:ascii="Arial Unicode MS" w:hAnsi="Arial Unicode MS"/>
          <w:color w:val="990000"/>
        </w:rPr>
        <w:t>11</w:t>
      </w:r>
    </w:p>
    <w:p w14:paraId="5E437321" w14:textId="77777777" w:rsidR="00845988" w:rsidRPr="003555EC" w:rsidRDefault="00845988" w:rsidP="0099154E">
      <w:pPr>
        <w:ind w:leftChars="75" w:left="150"/>
        <w:jc w:val="both"/>
        <w:rPr>
          <w:rFonts w:ascii="Arial Unicode MS" w:hAnsi="Arial Unicode MS"/>
          <w:b/>
          <w:bCs/>
          <w:color w:val="800000"/>
        </w:rPr>
      </w:pPr>
    </w:p>
    <w:p w14:paraId="5CA4900E" w14:textId="0FBC2B9A" w:rsidR="00A6011A" w:rsidRPr="00F169A7" w:rsidRDefault="003B6E03" w:rsidP="00F169A7">
      <w:pPr>
        <w:pStyle w:val="1"/>
        <w:rPr>
          <w:color w:val="990000"/>
        </w:rPr>
      </w:pPr>
      <w:r>
        <w:rPr>
          <w:color w:val="990000"/>
        </w:rPr>
        <w:t>【法規內容】</w:t>
      </w:r>
    </w:p>
    <w:p w14:paraId="30374579" w14:textId="77777777" w:rsidR="00C83397" w:rsidRPr="00F169A7" w:rsidRDefault="00C83397" w:rsidP="00674FCC">
      <w:pPr>
        <w:pStyle w:val="1"/>
        <w:jc w:val="both"/>
      </w:pPr>
      <w:bookmarkStart w:id="2" w:name="_第一章__總"/>
      <w:bookmarkEnd w:id="2"/>
      <w:r w:rsidRPr="00F169A7">
        <w:rPr>
          <w:rFonts w:hint="eastAsia"/>
        </w:rPr>
        <w:t>第一章　　總　則</w:t>
      </w:r>
    </w:p>
    <w:p w14:paraId="1667E39F" w14:textId="77777777" w:rsidR="003B6E03" w:rsidRDefault="000D4C99" w:rsidP="00674FCC">
      <w:pPr>
        <w:pStyle w:val="2"/>
        <w:jc w:val="both"/>
      </w:pPr>
      <w:bookmarkStart w:id="3" w:name="a1"/>
      <w:bookmarkEnd w:id="3"/>
      <w:r>
        <w:t>第</w:t>
      </w:r>
      <w:r>
        <w:t>1</w:t>
      </w:r>
      <w:r w:rsidR="003B6E03">
        <w:t>條</w:t>
      </w:r>
    </w:p>
    <w:p w14:paraId="79902ADA" w14:textId="57D2543B"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為使國民與法官共同參與刑事審判，提升司法透明度，反映國民正當法律感情，增進國民對於司法之瞭解及信賴，彰顯國民主權理念，特制定本法。</w:t>
      </w:r>
    </w:p>
    <w:p w14:paraId="746E531B" w14:textId="77777777" w:rsidR="003B6E03" w:rsidRDefault="000D4C99" w:rsidP="00674FCC">
      <w:pPr>
        <w:pStyle w:val="2"/>
        <w:jc w:val="both"/>
      </w:pPr>
      <w:bookmarkStart w:id="4" w:name="a2"/>
      <w:bookmarkEnd w:id="4"/>
      <w:r>
        <w:t>第</w:t>
      </w:r>
      <w:r>
        <w:t>2</w:t>
      </w:r>
      <w:r w:rsidR="003B6E03">
        <w:t>條</w:t>
      </w:r>
    </w:p>
    <w:p w14:paraId="0D2E11D3" w14:textId="1460795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本法用詞，定義如下：</w:t>
      </w:r>
    </w:p>
    <w:p w14:paraId="7DB2B179" w14:textId="77777777" w:rsidR="003B6E03" w:rsidRDefault="000D4C99" w:rsidP="00674FCC">
      <w:pPr>
        <w:ind w:left="142"/>
        <w:jc w:val="both"/>
      </w:pPr>
      <w:r>
        <w:lastRenderedPageBreak/>
        <w:t xml:space="preserve">　　一、國民法官：指依本法選任，參與審判及終局評議之人</w:t>
      </w:r>
      <w:r w:rsidR="003B6E03">
        <w:t>。</w:t>
      </w:r>
    </w:p>
    <w:p w14:paraId="64C3C5BF" w14:textId="67C4BE95" w:rsidR="003B6E03" w:rsidRDefault="003B6E03" w:rsidP="00674FCC">
      <w:pPr>
        <w:ind w:left="142"/>
        <w:jc w:val="both"/>
      </w:pPr>
      <w:r>
        <w:t xml:space="preserve">　　二、</w:t>
      </w:r>
      <w:r w:rsidR="000D4C99">
        <w:t>備位國民法官：指法院視審理需要，依本法選任，於國民法官不能執行其職務時，依序遞補為國民法官之人</w:t>
      </w:r>
      <w:r>
        <w:t>。</w:t>
      </w:r>
    </w:p>
    <w:p w14:paraId="77735172" w14:textId="55E4B080" w:rsidR="003B6E03" w:rsidRDefault="003B6E03" w:rsidP="00674FCC">
      <w:pPr>
        <w:ind w:left="142"/>
        <w:jc w:val="both"/>
      </w:pPr>
      <w:r>
        <w:t xml:space="preserve">　　三、</w:t>
      </w:r>
      <w:r w:rsidR="000D4C99">
        <w:t>終局評議：指國民法官法庭於辯論終結後，由法官與國民法官就事實之認定、法律之適用及科刑共同討論、表決之程序</w:t>
      </w:r>
      <w:r>
        <w:t>。</w:t>
      </w:r>
    </w:p>
    <w:p w14:paraId="77232C6D" w14:textId="3D6FACC4" w:rsidR="000D4C99" w:rsidRDefault="003B6E03" w:rsidP="00674FCC">
      <w:pPr>
        <w:ind w:left="142"/>
        <w:jc w:val="both"/>
      </w:pPr>
      <w:r>
        <w:t xml:space="preserve">　　四、</w:t>
      </w:r>
      <w:r w:rsidR="000D4C99">
        <w:t>國民法官法庭：指由法官三人及國民法官六人共同組成，就本法所定行國民參與審判之案件，共同進行審判之合議庭。</w:t>
      </w:r>
    </w:p>
    <w:p w14:paraId="682CD8B0" w14:textId="77777777" w:rsidR="003B6E03" w:rsidRDefault="000D4C99" w:rsidP="00674FCC">
      <w:pPr>
        <w:pStyle w:val="2"/>
        <w:jc w:val="both"/>
      </w:pPr>
      <w:bookmarkStart w:id="5" w:name="a3"/>
      <w:bookmarkEnd w:id="5"/>
      <w:r>
        <w:t>第</w:t>
      </w:r>
      <w:r>
        <w:t>3</w:t>
      </w:r>
      <w:r w:rsidR="003B6E03">
        <w:t>條</w:t>
      </w:r>
    </w:p>
    <w:p w14:paraId="082932C6" w14:textId="4BC419A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行國民參與審判之案件，由法官三人及國民法官六人共同組成國民法官法庭，共同進行審判，並以庭長充審判長；無庭長或庭長有事故時，以法官中資深者充之，資同以年長者充之</w:t>
      </w:r>
      <w:r w:rsidR="003B6E03">
        <w:t>。</w:t>
      </w:r>
    </w:p>
    <w:p w14:paraId="37B2B2AB" w14:textId="044CAE5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5B4510">
        <w:rPr>
          <w:color w:val="17365D"/>
        </w:rPr>
        <w:t>中華民國國民，有依本法規定擔任國民法官或備位國民法官，參與刑事審判之權利及義務</w:t>
      </w:r>
      <w:r w:rsidR="003B6E03">
        <w:t>。</w:t>
      </w:r>
    </w:p>
    <w:p w14:paraId="22B3B804" w14:textId="1E5A089E"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國民法官之選任，應避免選任帶有偏見、歧視、差別待遇或有其他不當行為之人擔任。</w:t>
      </w:r>
    </w:p>
    <w:p w14:paraId="0B7F8612" w14:textId="77777777" w:rsidR="003B6E03" w:rsidRDefault="000D4C99" w:rsidP="00674FCC">
      <w:pPr>
        <w:pStyle w:val="2"/>
        <w:jc w:val="both"/>
      </w:pPr>
      <w:bookmarkStart w:id="6" w:name="a4"/>
      <w:bookmarkEnd w:id="6"/>
      <w:r>
        <w:t>第</w:t>
      </w:r>
      <w:r>
        <w:t>4</w:t>
      </w:r>
      <w:r w:rsidR="003B6E03">
        <w:t>條</w:t>
      </w:r>
    </w:p>
    <w:p w14:paraId="2B64E199" w14:textId="23967B8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行國民參與審判之案件，除本法有特別規定外，適用</w:t>
      </w:r>
      <w:hyperlink r:id="rId16" w:history="1">
        <w:r w:rsidR="000D4C99" w:rsidRPr="00674FCC">
          <w:rPr>
            <w:rStyle w:val="a3"/>
            <w:rFonts w:ascii="Times New Roman" w:hAnsi="Times New Roman"/>
          </w:rPr>
          <w:t>法院組織法</w:t>
        </w:r>
      </w:hyperlink>
      <w:r w:rsidR="000D4C99">
        <w:t>、</w:t>
      </w:r>
      <w:hyperlink r:id="rId17" w:history="1">
        <w:r w:rsidR="000D4C99" w:rsidRPr="00B323BA">
          <w:rPr>
            <w:rStyle w:val="a3"/>
            <w:rFonts w:ascii="Times New Roman" w:hAnsi="Times New Roman"/>
          </w:rPr>
          <w:t>刑事訴訟法</w:t>
        </w:r>
      </w:hyperlink>
      <w:r w:rsidR="000D4C99">
        <w:t>及其他法律之規定</w:t>
      </w:r>
      <w:r w:rsidR="003B6E03">
        <w:t>。</w:t>
      </w:r>
    </w:p>
    <w:p w14:paraId="3F1D7B6B" w14:textId="235F40AF" w:rsidR="005B4510" w:rsidRDefault="003B6E03" w:rsidP="00674FCC">
      <w:pPr>
        <w:ind w:left="142"/>
        <w:jc w:val="both"/>
      </w:pPr>
      <w: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6A705A1C" w14:textId="77777777" w:rsidR="000D4C99" w:rsidRDefault="000D4C99" w:rsidP="00674FCC">
      <w:pPr>
        <w:pStyle w:val="1"/>
        <w:jc w:val="both"/>
      </w:pPr>
      <w:bookmarkStart w:id="7" w:name="_第二章__適用案件及管轄"/>
      <w:bookmarkEnd w:id="7"/>
      <w:r>
        <w:t>第二章　　適用案件及管轄</w:t>
      </w:r>
    </w:p>
    <w:p w14:paraId="40AFE7AA" w14:textId="77777777" w:rsidR="003B6E03" w:rsidRDefault="000D4C99" w:rsidP="00674FCC">
      <w:pPr>
        <w:pStyle w:val="2"/>
        <w:jc w:val="both"/>
      </w:pPr>
      <w:bookmarkStart w:id="8" w:name="a5"/>
      <w:bookmarkEnd w:id="8"/>
      <w:r>
        <w:t>第</w:t>
      </w:r>
      <w:r>
        <w:t>5</w:t>
      </w:r>
      <w:r w:rsidR="003B6E03">
        <w:t>條</w:t>
      </w:r>
    </w:p>
    <w:p w14:paraId="62FB8775" w14:textId="2EB6000D"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除少年刑事案件及犯</w:t>
      </w:r>
      <w:hyperlink r:id="rId18" w:history="1">
        <w:r w:rsidR="000D4C99" w:rsidRPr="004F0BF2">
          <w:rPr>
            <w:rStyle w:val="a3"/>
            <w:rFonts w:ascii="Times New Roman" w:hAnsi="Times New Roman"/>
          </w:rPr>
          <w:t>毒品危害防制條例</w:t>
        </w:r>
      </w:hyperlink>
      <w:r w:rsidR="000D4C99">
        <w:t>之罪之案件外，下列經檢察官提起公訴且由地方法院管轄之第一審案件應行國民參與審判：</w:t>
      </w:r>
    </w:p>
    <w:p w14:paraId="4A115DA9" w14:textId="77777777" w:rsidR="003B6E03" w:rsidRDefault="000D4C99" w:rsidP="00674FCC">
      <w:pPr>
        <w:ind w:left="142"/>
        <w:jc w:val="both"/>
      </w:pPr>
      <w:r>
        <w:t xml:space="preserve">　　一、所犯最輕本刑為十年以上有期徒刑之罪</w:t>
      </w:r>
      <w:r w:rsidR="003B6E03">
        <w:t>。</w:t>
      </w:r>
    </w:p>
    <w:p w14:paraId="6DBDF4F0" w14:textId="31697D8E" w:rsidR="003B6E03" w:rsidRDefault="003B6E03" w:rsidP="00674FCC">
      <w:pPr>
        <w:ind w:left="142"/>
        <w:jc w:val="both"/>
      </w:pPr>
      <w:r>
        <w:t xml:space="preserve">　　二、</w:t>
      </w:r>
      <w:r w:rsidR="000D4C99">
        <w:t>故意犯罪因而發生死亡結果者</w:t>
      </w:r>
      <w:r>
        <w:t>。</w:t>
      </w:r>
    </w:p>
    <w:p w14:paraId="10438994" w14:textId="2940E98F"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D05AD">
        <w:rPr>
          <w:color w:val="17365D"/>
        </w:rPr>
        <w:t>前項罪名，以起訴書記載之犯罪事實及所犯法條為準</w:t>
      </w:r>
      <w:r w:rsidR="003B6E03">
        <w:t>。</w:t>
      </w:r>
    </w:p>
    <w:p w14:paraId="62B3EEE2" w14:textId="3355DC5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檢察官非以第一項所定案件起訴，法院於第一次審判期日前，認為應變更所犯法條為第一項之罪名者，應裁定行國民參與審判。</w:t>
      </w:r>
    </w:p>
    <w:p w14:paraId="71C07561" w14:textId="47B31CF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D05AD">
        <w:rPr>
          <w:color w:val="17365D"/>
        </w:rPr>
        <w:t>刑事訴訟法第</w:t>
      </w:r>
      <w:hyperlink r:id="rId19" w:anchor="a265" w:history="1">
        <w:r w:rsidR="003B6E03" w:rsidRPr="00CD05AD">
          <w:rPr>
            <w:rStyle w:val="a3"/>
            <w:rFonts w:ascii="Times New Roman" w:hAnsi="Times New Roman"/>
          </w:rPr>
          <w:t>二百六十五</w:t>
        </w:r>
      </w:hyperlink>
      <w:r w:rsidR="003B6E03" w:rsidRPr="00CD05AD">
        <w:rPr>
          <w:color w:val="17365D"/>
        </w:rPr>
        <w:t>條之規定，於行國民參與審判之案件，不適用之</w:t>
      </w:r>
      <w:r w:rsidR="003B6E03">
        <w:t>。</w:t>
      </w:r>
    </w:p>
    <w:p w14:paraId="152C41C8" w14:textId="3300B2C0"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3B6E03">
        <w:t>行國民參與審判之案件，被告未經選任辯護人者，審判長應指定公設辯護人或律師。</w:t>
      </w:r>
    </w:p>
    <w:p w14:paraId="24A93401" w14:textId="01E94D84" w:rsidR="000D4C99" w:rsidRPr="00CD05AD"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6</w:t>
      </w:r>
      <w:r w:rsidR="003B6E03" w:rsidRPr="003B6E03">
        <w:rPr>
          <w:rFonts w:asciiTheme="minorHAnsi" w:hAnsiTheme="minorHAnsi"/>
          <w:color w:val="404040" w:themeColor="text1" w:themeTint="BF"/>
          <w:sz w:val="18"/>
        </w:rPr>
        <w:t>﹞</w:t>
      </w:r>
      <w:r w:rsidR="000D4C99" w:rsidRPr="00CD05AD">
        <w:rPr>
          <w:color w:val="17365D"/>
        </w:rPr>
        <w:t>第一項案件，法院得設立專業法庭辦理。</w:t>
      </w:r>
    </w:p>
    <w:p w14:paraId="16D9692A" w14:textId="77777777" w:rsidR="003B6E03" w:rsidRDefault="000D4C99" w:rsidP="00674FCC">
      <w:pPr>
        <w:pStyle w:val="2"/>
        <w:jc w:val="both"/>
      </w:pPr>
      <w:bookmarkStart w:id="9" w:name="a6"/>
      <w:bookmarkEnd w:id="9"/>
      <w:r>
        <w:t>第</w:t>
      </w:r>
      <w:r>
        <w:t>6</w:t>
      </w:r>
      <w:r w:rsidR="003B6E03">
        <w:t>條</w:t>
      </w:r>
    </w:p>
    <w:p w14:paraId="5BDF932F" w14:textId="7AA26114"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應行國民參與審判之案件，有下列情形之一者，法院得依職權或當事人、辯護人、輔佐人之聲請，於聽取當事人、辯護人、輔佐人之意見後，裁定不行國民參與審判：</w:t>
      </w:r>
    </w:p>
    <w:p w14:paraId="3F51FAB4" w14:textId="77777777" w:rsidR="003B6E03" w:rsidRDefault="000D4C99" w:rsidP="00674FCC">
      <w:pPr>
        <w:ind w:left="142"/>
        <w:jc w:val="both"/>
      </w:pPr>
      <w:r>
        <w:t xml:space="preserve">　　一、有事實足認行國民參與審判有難期公正之虞</w:t>
      </w:r>
      <w:r w:rsidR="003B6E03">
        <w:t>。</w:t>
      </w:r>
    </w:p>
    <w:p w14:paraId="2D511619" w14:textId="524ACF75" w:rsidR="003B6E03" w:rsidRDefault="003B6E03" w:rsidP="00674FCC">
      <w:pPr>
        <w:ind w:left="142"/>
        <w:jc w:val="both"/>
      </w:pPr>
      <w:r>
        <w:t xml:space="preserve">　　二、</w:t>
      </w:r>
      <w:r w:rsidR="000D4C99">
        <w:t>對於國民法官、備位國民法官本人或其配偶、八親等內血親、五親等內姻親或家長、家屬之生命、身體、自由、名譽、財產有致生危害之虞</w:t>
      </w:r>
      <w:r>
        <w:t>。</w:t>
      </w:r>
    </w:p>
    <w:p w14:paraId="6750F5A4" w14:textId="59A3C3F2" w:rsidR="003B6E03" w:rsidRDefault="003B6E03" w:rsidP="00674FCC">
      <w:pPr>
        <w:ind w:left="142"/>
        <w:jc w:val="both"/>
      </w:pPr>
      <w:r>
        <w:t xml:space="preserve">　　三、</w:t>
      </w:r>
      <w:r w:rsidR="000D4C99">
        <w:t>案件情節繁雜或需高度專業知識，非經長久時日顯難完成審判</w:t>
      </w:r>
      <w:r>
        <w:t>。</w:t>
      </w:r>
    </w:p>
    <w:p w14:paraId="1D05A444" w14:textId="7F402652" w:rsidR="003B6E03" w:rsidRDefault="003B6E03" w:rsidP="00674FCC">
      <w:pPr>
        <w:ind w:left="142"/>
        <w:jc w:val="both"/>
      </w:pPr>
      <w:r>
        <w:t xml:space="preserve">　　四、</w:t>
      </w:r>
      <w:r w:rsidR="000D4C99">
        <w:t>被告就被訴事實為有罪之陳述，經審判長告知被告通常審判程序之旨，且依案件情節，認不行國民參與審判為適當</w:t>
      </w:r>
      <w:r>
        <w:t>。</w:t>
      </w:r>
    </w:p>
    <w:p w14:paraId="0F35C1E9" w14:textId="58D610F5" w:rsidR="003B6E03" w:rsidRDefault="003B6E03" w:rsidP="00674FCC">
      <w:pPr>
        <w:ind w:left="142"/>
        <w:jc w:val="both"/>
      </w:pPr>
      <w:r>
        <w:t xml:space="preserve">　　五、</w:t>
      </w:r>
      <w:r w:rsidR="000D4C99">
        <w:t>其他有事實足認行國民參與審判顯不適當</w:t>
      </w:r>
      <w:r>
        <w:t>。</w:t>
      </w:r>
    </w:p>
    <w:p w14:paraId="11891DCF" w14:textId="58F7E3F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D05AD">
        <w:rPr>
          <w:color w:val="17365D"/>
        </w:rPr>
        <w:t>於國民法官法庭組成後，法院於前項裁定前並應聽取國民法官、備位國民法官之意見</w:t>
      </w:r>
      <w:r w:rsidR="003B6E03">
        <w:t>。</w:t>
      </w:r>
    </w:p>
    <w:p w14:paraId="571BFB93" w14:textId="0067E336" w:rsidR="003B6E03" w:rsidRDefault="005560B7" w:rsidP="00674FCC">
      <w:pPr>
        <w:ind w:left="142"/>
        <w:jc w:val="both"/>
      </w:pPr>
      <w:r w:rsidRPr="005560B7">
        <w:rPr>
          <w:rFonts w:asciiTheme="minorHAnsi" w:hAnsiTheme="minorHAnsi"/>
          <w:color w:val="404040" w:themeColor="text1" w:themeTint="BF"/>
          <w:sz w:val="18"/>
        </w:rPr>
        <w:lastRenderedPageBreak/>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法院為第一項裁定，應審酌公共利益、國民法官與備位國民法官之負擔，及當事人訴訟權益之均衡維護。</w:t>
      </w:r>
    </w:p>
    <w:p w14:paraId="604A8C51" w14:textId="69E2792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D05AD">
        <w:rPr>
          <w:color w:val="17365D"/>
        </w:rPr>
        <w:t>第一項裁定，當事人得抗告。抗告中，停止審判。抗告法院應即時裁定，認為抗告有理由者，應自為裁定</w:t>
      </w:r>
      <w:r w:rsidR="003B6E03">
        <w:t>。</w:t>
      </w:r>
    </w:p>
    <w:p w14:paraId="57CA2D16" w14:textId="43446EE1"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0D4C99">
        <w:t>依第一項規定裁定不行國民參與審判之案件，裁定前已依法定程序所進行之訴訟程序，其效力不受影響。</w:t>
      </w:r>
    </w:p>
    <w:p w14:paraId="6A7A1037" w14:textId="77777777" w:rsidR="003B6E03" w:rsidRDefault="000D4C99" w:rsidP="00674FCC">
      <w:pPr>
        <w:pStyle w:val="2"/>
        <w:jc w:val="both"/>
      </w:pPr>
      <w:bookmarkStart w:id="10" w:name="a7"/>
      <w:bookmarkEnd w:id="10"/>
      <w:r>
        <w:t>第</w:t>
      </w:r>
      <w:r>
        <w:t>7</w:t>
      </w:r>
      <w:r w:rsidR="003B6E03">
        <w:t>條</w:t>
      </w:r>
    </w:p>
    <w:p w14:paraId="2B4C4ADA" w14:textId="4CA3A90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以被告犯應行國民參與審判之罪與非應行國民參與審判之罪，合併起訴者，應合併行國民參與審判。但關於非應行國民參與審判之罪，法院得於第一次審判期日前，聽取當事人、辯護人及輔佐人之意見後，裁定不行國民參與審判</w:t>
      </w:r>
      <w:r w:rsidR="003B6E03">
        <w:t>。</w:t>
      </w:r>
    </w:p>
    <w:p w14:paraId="6431FC0E" w14:textId="0434F3BA" w:rsidR="003B6E0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前項裁定，當事人得抗告。抗告中，停止審判</w:t>
      </w:r>
      <w:r w:rsidR="003B6E03">
        <w:rPr>
          <w:color w:val="17365D"/>
        </w:rPr>
        <w:t>。</w:t>
      </w:r>
    </w:p>
    <w:p w14:paraId="679C7A84" w14:textId="18671204" w:rsidR="00A47BE3" w:rsidRDefault="003B6E03" w:rsidP="00674FCC">
      <w:pPr>
        <w:ind w:left="142"/>
        <w:jc w:val="both"/>
      </w:pPr>
      <w:r>
        <w:rPr>
          <w:color w:val="17365D"/>
        </w:rP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5E51D076" w14:textId="51AB564F" w:rsidR="000D4C99" w:rsidRDefault="000D4C99" w:rsidP="00674FCC">
      <w:pPr>
        <w:pStyle w:val="1"/>
        <w:jc w:val="both"/>
      </w:pPr>
      <w:bookmarkStart w:id="11" w:name="_第三章__國民法官及備位國民法官"/>
      <w:bookmarkEnd w:id="11"/>
      <w:r>
        <w:t xml:space="preserve">第三章　　國民法官及備位國民法官　　第一節　</w:t>
      </w:r>
      <w:r w:rsidR="00A47BE3">
        <w:t xml:space="preserve">　</w:t>
      </w:r>
      <w:r>
        <w:t>通　則</w:t>
      </w:r>
    </w:p>
    <w:p w14:paraId="1C5A9165" w14:textId="77777777" w:rsidR="003B6E03" w:rsidRDefault="000D4C99" w:rsidP="00674FCC">
      <w:pPr>
        <w:pStyle w:val="2"/>
        <w:jc w:val="both"/>
      </w:pPr>
      <w:bookmarkStart w:id="12" w:name="a8"/>
      <w:bookmarkEnd w:id="12"/>
      <w:r>
        <w:t>第</w:t>
      </w:r>
      <w:r>
        <w:t>8</w:t>
      </w:r>
      <w:r w:rsidR="003B6E03">
        <w:t>條</w:t>
      </w:r>
    </w:p>
    <w:p w14:paraId="25B6C156" w14:textId="2E6D08FE"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國民法官之職權，除本法另有規定外，與法官同。</w:t>
      </w:r>
    </w:p>
    <w:p w14:paraId="6FB56CB6" w14:textId="77777777" w:rsidR="003B6E03" w:rsidRDefault="000D4C99" w:rsidP="00674FCC">
      <w:pPr>
        <w:pStyle w:val="2"/>
        <w:jc w:val="both"/>
      </w:pPr>
      <w:bookmarkStart w:id="13" w:name="a9"/>
      <w:bookmarkEnd w:id="13"/>
      <w:r>
        <w:t>第</w:t>
      </w:r>
      <w:r>
        <w:t>9</w:t>
      </w:r>
      <w:r w:rsidR="003B6E03">
        <w:t>條</w:t>
      </w:r>
    </w:p>
    <w:p w14:paraId="4863DDA0" w14:textId="7437469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國民法官依據法律獨立行使職權，不受任何干涉</w:t>
      </w:r>
      <w:r w:rsidR="003B6E03">
        <w:t>。</w:t>
      </w:r>
    </w:p>
    <w:p w14:paraId="46DC4CA3" w14:textId="67E0817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國民法官應依法公平誠實執行職務，不得為有害司法公正信譽之行為</w:t>
      </w:r>
      <w:r w:rsidR="003B6E03">
        <w:t>。</w:t>
      </w:r>
    </w:p>
    <w:p w14:paraId="4BA63DFE" w14:textId="78D5130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國民法官不得洩漏評議秘密及其他職務上知悉之秘密。</w:t>
      </w:r>
    </w:p>
    <w:p w14:paraId="33B6E076" w14:textId="77777777" w:rsidR="003B6E03" w:rsidRDefault="000D4C99" w:rsidP="00674FCC">
      <w:pPr>
        <w:pStyle w:val="2"/>
        <w:jc w:val="both"/>
      </w:pPr>
      <w:bookmarkStart w:id="14" w:name="a10"/>
      <w:bookmarkEnd w:id="14"/>
      <w:r>
        <w:t>第</w:t>
      </w:r>
      <w:r>
        <w:t>10</w:t>
      </w:r>
      <w:r w:rsidR="003B6E03">
        <w:t>條</w:t>
      </w:r>
    </w:p>
    <w:p w14:paraId="7F35206D" w14:textId="5C1D491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法院認有必要時，得選任一人至四人為備位國民法官，於國民法官不能執行其職務時，依序遞補為國民法官</w:t>
      </w:r>
      <w:r w:rsidR="003B6E03">
        <w:t>。</w:t>
      </w:r>
    </w:p>
    <w:p w14:paraId="2FE3854F" w14:textId="2B74797C"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前二條規定，於備位國民法官準用之。</w:t>
      </w:r>
    </w:p>
    <w:p w14:paraId="724053AD" w14:textId="77777777" w:rsidR="003B6E03" w:rsidRDefault="000D4C99" w:rsidP="00674FCC">
      <w:pPr>
        <w:pStyle w:val="2"/>
        <w:jc w:val="both"/>
      </w:pPr>
      <w:bookmarkStart w:id="15" w:name="a11"/>
      <w:bookmarkEnd w:id="15"/>
      <w:r>
        <w:t>第</w:t>
      </w:r>
      <w:r>
        <w:t>11</w:t>
      </w:r>
      <w:r w:rsidR="003B6E03">
        <w:t>條</w:t>
      </w:r>
    </w:p>
    <w:p w14:paraId="1EA96E58" w14:textId="7F65D34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國民法官、備位國民法官及受通知到庭之候選國民法官，應按到庭日數支給日費、旅費及相關必要費用</w:t>
      </w:r>
      <w:r w:rsidR="003B6E03">
        <w:t>。</w:t>
      </w:r>
    </w:p>
    <w:p w14:paraId="62BB98EA" w14:textId="49F33434" w:rsidR="003B6E0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前項費用之</w:t>
      </w:r>
      <w:hyperlink r:id="rId20" w:history="1">
        <w:r w:rsidR="000D4C99" w:rsidRPr="00C61BA4">
          <w:rPr>
            <w:rStyle w:val="a3"/>
            <w:rFonts w:ascii="Times New Roman" w:hAnsi="Times New Roman"/>
          </w:rPr>
          <w:t>支給辦法</w:t>
        </w:r>
      </w:hyperlink>
      <w:r w:rsidR="000D4C99" w:rsidRPr="00A47BE3">
        <w:rPr>
          <w:color w:val="17365D"/>
        </w:rPr>
        <w:t>，由司法院定之</w:t>
      </w:r>
      <w:r w:rsidR="003B6E03">
        <w:rPr>
          <w:color w:val="17365D"/>
        </w:rPr>
        <w:t>。</w:t>
      </w:r>
    </w:p>
    <w:p w14:paraId="35B3CF15" w14:textId="1A97D6B3" w:rsidR="00A47BE3" w:rsidRDefault="003B6E03" w:rsidP="00674FCC">
      <w:pPr>
        <w:ind w:left="142"/>
        <w:jc w:val="both"/>
      </w:pPr>
      <w:r>
        <w:rPr>
          <w:color w:val="17365D"/>
        </w:rP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50B6FA52" w14:textId="77777777" w:rsidR="000D4C99" w:rsidRDefault="000D4C99" w:rsidP="00674FCC">
      <w:pPr>
        <w:pStyle w:val="1"/>
        <w:jc w:val="both"/>
      </w:pPr>
      <w:bookmarkStart w:id="16" w:name="_第三章__國民法官及備位國民法官_1"/>
      <w:bookmarkEnd w:id="16"/>
      <w:r>
        <w:t>第三章　　國民法官及備位國民法官　　第二節　　國民法官及備位國民法官之資格</w:t>
      </w:r>
    </w:p>
    <w:p w14:paraId="46432D76" w14:textId="77777777" w:rsidR="003B6E03" w:rsidRDefault="000D4C99" w:rsidP="00674FCC">
      <w:pPr>
        <w:pStyle w:val="2"/>
        <w:jc w:val="both"/>
      </w:pPr>
      <w:bookmarkStart w:id="17" w:name="a12"/>
      <w:bookmarkEnd w:id="17"/>
      <w:r>
        <w:t>第</w:t>
      </w:r>
      <w:r>
        <w:t>12</w:t>
      </w:r>
      <w:r w:rsidR="003B6E03">
        <w:t>條</w:t>
      </w:r>
    </w:p>
    <w:p w14:paraId="0C4CC6E2" w14:textId="3C93EAE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年滿二十三歲，且在地方法院管轄區域內繼續居住四個月以上之中華民國國民，有被選任為國民法官、備位國民法官之資格</w:t>
      </w:r>
      <w:r w:rsidR="003B6E03">
        <w:t>。</w:t>
      </w:r>
    </w:p>
    <w:p w14:paraId="12658B8E" w14:textId="0195417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前項年齡及居住期間之計算，均以算至備選國民法官複選名冊供使用年度之一月一日為準，並以戶籍登記資料為依據</w:t>
      </w:r>
      <w:r w:rsidR="003B6E03">
        <w:t>。</w:t>
      </w:r>
    </w:p>
    <w:p w14:paraId="2C026429" w14:textId="6572496D"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第一項居住期間之計算，自戶籍遷入登記之日起算。</w:t>
      </w:r>
    </w:p>
    <w:p w14:paraId="62640EE4" w14:textId="77777777" w:rsidR="003B6E03" w:rsidRDefault="000D4C99" w:rsidP="00674FCC">
      <w:pPr>
        <w:pStyle w:val="2"/>
        <w:jc w:val="both"/>
      </w:pPr>
      <w:bookmarkStart w:id="18" w:name="a13"/>
      <w:bookmarkEnd w:id="18"/>
      <w:r>
        <w:t>第</w:t>
      </w:r>
      <w:r>
        <w:t>13</w:t>
      </w:r>
      <w:r w:rsidR="003B6E03">
        <w:t>條</w:t>
      </w:r>
    </w:p>
    <w:p w14:paraId="7C49EE04" w14:textId="48D32D0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有下列情形之一者，不得被選任為國民法官、備位國民法官：</w:t>
      </w:r>
    </w:p>
    <w:p w14:paraId="7516574A" w14:textId="77777777" w:rsidR="003B6E03" w:rsidRDefault="000D4C99" w:rsidP="00674FCC">
      <w:pPr>
        <w:ind w:left="142"/>
        <w:jc w:val="both"/>
      </w:pPr>
      <w:r>
        <w:t xml:space="preserve">　　一、褫奪公權，尚未復權</w:t>
      </w:r>
      <w:r w:rsidR="003B6E03">
        <w:t>。</w:t>
      </w:r>
    </w:p>
    <w:p w14:paraId="02C6BDAD" w14:textId="36AB063B" w:rsidR="003B6E03" w:rsidRDefault="003B6E03" w:rsidP="00674FCC">
      <w:pPr>
        <w:ind w:left="142"/>
        <w:jc w:val="both"/>
      </w:pPr>
      <w:r>
        <w:t xml:space="preserve">　　二、</w:t>
      </w:r>
      <w:r w:rsidR="000D4C99">
        <w:t>曾任公務人員而受免除職務處分，或受撤職處分，其停止任用期間尚未屆滿</w:t>
      </w:r>
      <w:r>
        <w:t>。</w:t>
      </w:r>
    </w:p>
    <w:p w14:paraId="6D9A3D15" w14:textId="46DD3E3C" w:rsidR="003B6E03" w:rsidRDefault="003B6E03" w:rsidP="00674FCC">
      <w:pPr>
        <w:ind w:left="142"/>
        <w:jc w:val="both"/>
      </w:pPr>
      <w:r>
        <w:t xml:space="preserve">　　三、</w:t>
      </w:r>
      <w:r w:rsidR="000D4C99">
        <w:t>現任公務人員而受休職、停職處分，其休職、停職期間尚未屆滿</w:t>
      </w:r>
      <w:r>
        <w:t>。</w:t>
      </w:r>
    </w:p>
    <w:p w14:paraId="23DE9946" w14:textId="0FE26AD0" w:rsidR="003B6E03" w:rsidRDefault="003B6E03" w:rsidP="00674FCC">
      <w:pPr>
        <w:ind w:left="142"/>
        <w:jc w:val="both"/>
      </w:pPr>
      <w:r>
        <w:t xml:space="preserve">　　四、</w:t>
      </w:r>
      <w:r w:rsidR="000D4C99">
        <w:t>人身自由依法受拘束中</w:t>
      </w:r>
      <w:r>
        <w:t>。</w:t>
      </w:r>
    </w:p>
    <w:p w14:paraId="0FFCEB24" w14:textId="43CE928C" w:rsidR="003B6E03" w:rsidRDefault="003B6E03" w:rsidP="00674FCC">
      <w:pPr>
        <w:ind w:left="142"/>
        <w:jc w:val="both"/>
      </w:pPr>
      <w:r>
        <w:lastRenderedPageBreak/>
        <w:t xml:space="preserve">　　五、</w:t>
      </w:r>
      <w:r w:rsidR="000D4C99">
        <w:t>因案經檢察官提起公訴或聲請以簡易判決處刑，或經自訴人提起自訴，尚未判決確定</w:t>
      </w:r>
      <w:r>
        <w:t>。</w:t>
      </w:r>
    </w:p>
    <w:p w14:paraId="3EE14BDF" w14:textId="5F93B761" w:rsidR="003B6E03" w:rsidRDefault="003B6E03" w:rsidP="00674FCC">
      <w:pPr>
        <w:ind w:left="142"/>
        <w:jc w:val="both"/>
      </w:pPr>
      <w:r>
        <w:t xml:space="preserve">　　六、</w:t>
      </w:r>
      <w:r w:rsidR="000D4C99">
        <w:t>曾受有期徒刑以上刑之宣告確定</w:t>
      </w:r>
      <w:r>
        <w:t>。</w:t>
      </w:r>
    </w:p>
    <w:p w14:paraId="3E1903EC" w14:textId="539FE657" w:rsidR="003B6E03" w:rsidRDefault="003B6E03" w:rsidP="00674FCC">
      <w:pPr>
        <w:ind w:left="142"/>
        <w:jc w:val="both"/>
      </w:pPr>
      <w:r>
        <w:t xml:space="preserve">　　七、</w:t>
      </w:r>
      <w:r w:rsidR="000D4C99">
        <w:t>受有期徒刑以上刑之宣告確定，現於緩刑期內或期滿後未逾二年</w:t>
      </w:r>
      <w:r>
        <w:t>。</w:t>
      </w:r>
    </w:p>
    <w:p w14:paraId="281F067A" w14:textId="4B51ECA7" w:rsidR="003B6E03" w:rsidRDefault="003B6E03" w:rsidP="00674FCC">
      <w:pPr>
        <w:ind w:left="142"/>
        <w:jc w:val="both"/>
      </w:pPr>
      <w:r>
        <w:t xml:space="preserve">　　八、</w:t>
      </w:r>
      <w:r w:rsidR="000D4C99">
        <w:t>於緩起訴期間內，或期滿後未逾二年</w:t>
      </w:r>
      <w:r>
        <w:t>。</w:t>
      </w:r>
    </w:p>
    <w:p w14:paraId="3B0CB2F4" w14:textId="785490AE" w:rsidR="003B6E03" w:rsidRDefault="003B6E03" w:rsidP="00674FCC">
      <w:pPr>
        <w:ind w:left="142"/>
        <w:jc w:val="both"/>
      </w:pPr>
      <w:r>
        <w:t xml:space="preserve">　　九、</w:t>
      </w:r>
      <w:r w:rsidR="000D4C99">
        <w:t>受觀察勒戒或戒治處分，尚未執行，或執行完畢未滿二年</w:t>
      </w:r>
      <w:r>
        <w:t>。</w:t>
      </w:r>
    </w:p>
    <w:p w14:paraId="406CA3CA" w14:textId="0332E09B" w:rsidR="003B6E03" w:rsidRDefault="003B6E03" w:rsidP="00674FCC">
      <w:pPr>
        <w:ind w:left="142"/>
        <w:jc w:val="both"/>
      </w:pPr>
      <w:r>
        <w:t xml:space="preserve">　　十、</w:t>
      </w:r>
      <w:r w:rsidR="000D4C99">
        <w:t>受監護或輔助宣告，尚未撤銷</w:t>
      </w:r>
      <w:r>
        <w:t>。</w:t>
      </w:r>
    </w:p>
    <w:p w14:paraId="2DC02744" w14:textId="19D0D478" w:rsidR="000D4C99" w:rsidRDefault="003B6E03" w:rsidP="00674FCC">
      <w:pPr>
        <w:ind w:left="142"/>
        <w:jc w:val="both"/>
      </w:pPr>
      <w:r>
        <w:t xml:space="preserve">　　十一、</w:t>
      </w:r>
      <w:r w:rsidR="000D4C99">
        <w:t>受破產宣告或經裁定開始清算程序，尚未復權。</w:t>
      </w:r>
    </w:p>
    <w:p w14:paraId="5198B89F" w14:textId="77777777" w:rsidR="003B6E03" w:rsidRDefault="000D4C99" w:rsidP="00674FCC">
      <w:pPr>
        <w:pStyle w:val="2"/>
        <w:jc w:val="both"/>
      </w:pPr>
      <w:bookmarkStart w:id="19" w:name="a14"/>
      <w:bookmarkEnd w:id="19"/>
      <w:r>
        <w:t>第</w:t>
      </w:r>
      <w:r>
        <w:t>14</w:t>
      </w:r>
      <w:r w:rsidR="003B6E03">
        <w:t>條</w:t>
      </w:r>
    </w:p>
    <w:p w14:paraId="7F10BD3A" w14:textId="2BBD3CF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下列人員，不得被選任為國民法官、備位國民法官：</w:t>
      </w:r>
    </w:p>
    <w:p w14:paraId="75F15F29" w14:textId="77777777" w:rsidR="003B6E03" w:rsidRDefault="000D4C99" w:rsidP="00674FCC">
      <w:pPr>
        <w:ind w:left="142"/>
        <w:jc w:val="both"/>
      </w:pPr>
      <w:r>
        <w:t xml:space="preserve">　　一、總統、副總統</w:t>
      </w:r>
      <w:r w:rsidR="003B6E03">
        <w:t>。</w:t>
      </w:r>
    </w:p>
    <w:p w14:paraId="4EC04D10" w14:textId="531EB7FF" w:rsidR="003B6E03" w:rsidRDefault="003B6E03" w:rsidP="00674FCC">
      <w:pPr>
        <w:ind w:left="142"/>
        <w:jc w:val="both"/>
      </w:pPr>
      <w:r>
        <w:t xml:space="preserve">　　二、</w:t>
      </w:r>
      <w:r w:rsidR="000D4C99">
        <w:t>各級政府機關首長、政務人員及民意代表</w:t>
      </w:r>
      <w:r>
        <w:t>。</w:t>
      </w:r>
    </w:p>
    <w:p w14:paraId="6B9D7830" w14:textId="3630C9CE" w:rsidR="003B6E03" w:rsidRDefault="003B6E03" w:rsidP="00674FCC">
      <w:pPr>
        <w:ind w:left="142"/>
        <w:jc w:val="both"/>
      </w:pPr>
      <w:r>
        <w:t xml:space="preserve">　　三、</w:t>
      </w:r>
      <w:r w:rsidR="000D4C99">
        <w:t>政黨黨務工作人員</w:t>
      </w:r>
      <w:r>
        <w:t>。</w:t>
      </w:r>
    </w:p>
    <w:p w14:paraId="4B104947" w14:textId="31F7EB55" w:rsidR="003B6E03" w:rsidRDefault="003B6E03" w:rsidP="00674FCC">
      <w:pPr>
        <w:ind w:left="142"/>
        <w:jc w:val="both"/>
      </w:pPr>
      <w:r>
        <w:t xml:space="preserve">　　四、</w:t>
      </w:r>
      <w:r w:rsidR="000D4C99">
        <w:t>現役軍人、警察</w:t>
      </w:r>
      <w:r>
        <w:t>。</w:t>
      </w:r>
    </w:p>
    <w:p w14:paraId="0874CCF5" w14:textId="3616D881" w:rsidR="003B6E03" w:rsidRDefault="003B6E03" w:rsidP="00674FCC">
      <w:pPr>
        <w:ind w:left="142"/>
        <w:jc w:val="both"/>
      </w:pPr>
      <w:r>
        <w:t xml:space="preserve">　　五、</w:t>
      </w:r>
      <w:r w:rsidR="000D4C99">
        <w:t>法官或曾任法官</w:t>
      </w:r>
      <w:r>
        <w:t>。</w:t>
      </w:r>
    </w:p>
    <w:p w14:paraId="58722DC7" w14:textId="7717B202" w:rsidR="003B6E03" w:rsidRDefault="003B6E03" w:rsidP="00674FCC">
      <w:pPr>
        <w:ind w:left="142"/>
        <w:jc w:val="both"/>
      </w:pPr>
      <w:r>
        <w:t xml:space="preserve">　　六、</w:t>
      </w:r>
      <w:r w:rsidR="000D4C99">
        <w:t>檢察官或曾任檢察官</w:t>
      </w:r>
      <w:r>
        <w:t>。</w:t>
      </w:r>
    </w:p>
    <w:p w14:paraId="646DBA2B" w14:textId="4BDD1560" w:rsidR="003B6E03" w:rsidRDefault="003B6E03" w:rsidP="00674FCC">
      <w:pPr>
        <w:ind w:left="142"/>
        <w:jc w:val="both"/>
      </w:pPr>
      <w:r>
        <w:t xml:space="preserve">　　七、</w:t>
      </w:r>
      <w:r w:rsidR="000D4C99">
        <w:t>律師、公設辯護人或曾任律師、公設辯護人</w:t>
      </w:r>
      <w:r>
        <w:t>。</w:t>
      </w:r>
    </w:p>
    <w:p w14:paraId="3003E173" w14:textId="18F8135B" w:rsidR="003B6E03" w:rsidRDefault="003B6E03" w:rsidP="00674FCC">
      <w:pPr>
        <w:ind w:left="142"/>
        <w:jc w:val="both"/>
      </w:pPr>
      <w:r>
        <w:t xml:space="preserve">　　八、</w:t>
      </w:r>
      <w:r w:rsidR="000D4C99">
        <w:t>現任或曾任教育部審定合格之大學或獨立學院專任教授、副教授或助理教授，講授主要法律科目者</w:t>
      </w:r>
      <w:r>
        <w:t>。</w:t>
      </w:r>
    </w:p>
    <w:p w14:paraId="6AD6547B" w14:textId="0E4085D0" w:rsidR="003B6E03" w:rsidRDefault="003B6E03" w:rsidP="00674FCC">
      <w:pPr>
        <w:ind w:left="142"/>
        <w:jc w:val="both"/>
      </w:pPr>
      <w:r>
        <w:t xml:space="preserve">　　九、</w:t>
      </w:r>
      <w:r w:rsidR="000D4C99">
        <w:t>司法院、法務部及所屬各機關之公務人員</w:t>
      </w:r>
      <w:r>
        <w:t>。</w:t>
      </w:r>
    </w:p>
    <w:p w14:paraId="57011CDB" w14:textId="14560382" w:rsidR="003B6E03" w:rsidRDefault="003B6E03" w:rsidP="00674FCC">
      <w:pPr>
        <w:ind w:left="142"/>
        <w:jc w:val="both"/>
      </w:pPr>
      <w:r>
        <w:t xml:space="preserve">　　十、</w:t>
      </w:r>
      <w:r w:rsidR="000D4C99">
        <w:t>司法官考試、律師考試及格之人員</w:t>
      </w:r>
      <w:r>
        <w:t>。</w:t>
      </w:r>
    </w:p>
    <w:p w14:paraId="332C54BD" w14:textId="2EE45F0C" w:rsidR="003B6E03" w:rsidRDefault="003B6E03" w:rsidP="00674FCC">
      <w:pPr>
        <w:ind w:left="142"/>
        <w:jc w:val="both"/>
      </w:pPr>
      <w:r>
        <w:t xml:space="preserve">　　十一、</w:t>
      </w:r>
      <w:r w:rsidR="000D4C99">
        <w:t>司法警察官、司法警察</w:t>
      </w:r>
      <w:r>
        <w:t>。</w:t>
      </w:r>
    </w:p>
    <w:p w14:paraId="3F8EE834" w14:textId="3E96106B" w:rsidR="000D4C99" w:rsidRDefault="003B6E03" w:rsidP="00674FCC">
      <w:pPr>
        <w:ind w:left="142"/>
        <w:jc w:val="both"/>
      </w:pPr>
      <w:r>
        <w:t xml:space="preserve">　　十二、</w:t>
      </w:r>
      <w:r w:rsidR="000D4C99">
        <w:t>未完成國民教育之人員。</w:t>
      </w:r>
    </w:p>
    <w:p w14:paraId="6E70F652" w14:textId="77777777" w:rsidR="003B6E03" w:rsidRDefault="000D4C99" w:rsidP="00674FCC">
      <w:pPr>
        <w:pStyle w:val="2"/>
        <w:jc w:val="both"/>
      </w:pPr>
      <w:bookmarkStart w:id="20" w:name="a15"/>
      <w:bookmarkEnd w:id="20"/>
      <w:r>
        <w:t>第</w:t>
      </w:r>
      <w:r>
        <w:t>15</w:t>
      </w:r>
      <w:r w:rsidR="003B6E03">
        <w:t>條</w:t>
      </w:r>
    </w:p>
    <w:p w14:paraId="2C5C9380" w14:textId="2A57462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下列人員，不得就行國民參與審判之案件被選任為國民法官、備位國民法官：</w:t>
      </w:r>
    </w:p>
    <w:p w14:paraId="5EEE123C" w14:textId="77777777" w:rsidR="003B6E03" w:rsidRDefault="000D4C99" w:rsidP="00674FCC">
      <w:pPr>
        <w:ind w:left="142"/>
        <w:jc w:val="both"/>
      </w:pPr>
      <w:r>
        <w:t xml:space="preserve">　　一、被害人</w:t>
      </w:r>
      <w:r w:rsidR="003B6E03">
        <w:t>。</w:t>
      </w:r>
    </w:p>
    <w:p w14:paraId="7082A441" w14:textId="5BA156F6" w:rsidR="003B6E03" w:rsidRDefault="003B6E03" w:rsidP="00674FCC">
      <w:pPr>
        <w:ind w:left="142"/>
        <w:jc w:val="both"/>
      </w:pPr>
      <w:r>
        <w:t xml:space="preserve">　　二、</w:t>
      </w:r>
      <w:r w:rsidR="000D4C99">
        <w:t>現為或曾為被告或被害人之配偶、八親等內之血親、五親等內之姻親或家長、家屬</w:t>
      </w:r>
      <w:r>
        <w:t>。</w:t>
      </w:r>
    </w:p>
    <w:p w14:paraId="1170DF98" w14:textId="467081F0" w:rsidR="003B6E03" w:rsidRDefault="003B6E03" w:rsidP="00674FCC">
      <w:pPr>
        <w:ind w:left="142"/>
        <w:jc w:val="both"/>
      </w:pPr>
      <w:r>
        <w:t xml:space="preserve">　　三、</w:t>
      </w:r>
      <w:r w:rsidR="000D4C99">
        <w:t>與被告或被害人訂有婚約</w:t>
      </w:r>
      <w:r>
        <w:t>。</w:t>
      </w:r>
    </w:p>
    <w:p w14:paraId="5317F221" w14:textId="3F2DBA43" w:rsidR="003B6E03" w:rsidRDefault="003B6E03" w:rsidP="00674FCC">
      <w:pPr>
        <w:ind w:left="142"/>
        <w:jc w:val="both"/>
      </w:pPr>
      <w:r>
        <w:t xml:space="preserve">　　四、</w:t>
      </w:r>
      <w:r w:rsidR="000D4C99">
        <w:t>現為或曾為被告或被害人之法定代理人、輔助人</w:t>
      </w:r>
      <w:r>
        <w:t>。</w:t>
      </w:r>
    </w:p>
    <w:p w14:paraId="4027F3C7" w14:textId="72B2889C" w:rsidR="003B6E03" w:rsidRDefault="003B6E03" w:rsidP="00674FCC">
      <w:pPr>
        <w:ind w:left="142"/>
        <w:jc w:val="both"/>
      </w:pPr>
      <w:r>
        <w:t xml:space="preserve">　　五、</w:t>
      </w:r>
      <w:r w:rsidR="000D4C99">
        <w:t>現為或曾為被告或被害人之同居人或受僱人</w:t>
      </w:r>
      <w:r>
        <w:t>。</w:t>
      </w:r>
    </w:p>
    <w:p w14:paraId="5F71D4C7" w14:textId="223B31A4" w:rsidR="003B6E03" w:rsidRDefault="003B6E03" w:rsidP="00674FCC">
      <w:pPr>
        <w:ind w:left="142"/>
        <w:jc w:val="both"/>
      </w:pPr>
      <w:r>
        <w:t xml:space="preserve">　　六、</w:t>
      </w:r>
      <w:r w:rsidR="000D4C99">
        <w:t>現為或曾為被告之代理人、辯護人或輔佐人或曾為附帶民事訴訟當事人之代理人、輔佐人</w:t>
      </w:r>
      <w:r>
        <w:t>。</w:t>
      </w:r>
    </w:p>
    <w:p w14:paraId="6AEFFF82" w14:textId="26FB5D55" w:rsidR="003B6E03" w:rsidRDefault="003B6E03" w:rsidP="00674FCC">
      <w:pPr>
        <w:ind w:left="142"/>
        <w:jc w:val="both"/>
      </w:pPr>
      <w:r>
        <w:t xml:space="preserve">　　七、</w:t>
      </w:r>
      <w:r w:rsidR="000D4C99">
        <w:t>現為或曾為告訴人、告訴代理人、告發人、證人或鑑定人</w:t>
      </w:r>
      <w:r>
        <w:t>。</w:t>
      </w:r>
    </w:p>
    <w:p w14:paraId="60C951A2" w14:textId="038B59B1" w:rsidR="003B6E03" w:rsidRDefault="003B6E03" w:rsidP="00674FCC">
      <w:pPr>
        <w:ind w:left="142"/>
        <w:jc w:val="both"/>
      </w:pPr>
      <w:r>
        <w:t xml:space="preserve">　　八、</w:t>
      </w:r>
      <w:r w:rsidR="000D4C99">
        <w:t>曾參與偵查或審理者</w:t>
      </w:r>
      <w:r>
        <w:t>。</w:t>
      </w:r>
    </w:p>
    <w:p w14:paraId="019C5DB2" w14:textId="01C70C17" w:rsidR="000D4C99" w:rsidRDefault="003B6E03" w:rsidP="00674FCC">
      <w:pPr>
        <w:ind w:left="142"/>
        <w:jc w:val="both"/>
      </w:pPr>
      <w:r>
        <w:t xml:space="preserve">　　九、</w:t>
      </w:r>
      <w:r w:rsidR="000D4C99">
        <w:t>有具體事證足認其執行職務有難期公正之虞。</w:t>
      </w:r>
    </w:p>
    <w:p w14:paraId="625B4A99" w14:textId="77777777" w:rsidR="003B6E03" w:rsidRDefault="000D4C99" w:rsidP="00674FCC">
      <w:pPr>
        <w:pStyle w:val="2"/>
        <w:jc w:val="both"/>
      </w:pPr>
      <w:bookmarkStart w:id="21" w:name="a16"/>
      <w:bookmarkEnd w:id="21"/>
      <w:r>
        <w:t>第</w:t>
      </w:r>
      <w:r>
        <w:t>16</w:t>
      </w:r>
      <w:r w:rsidR="003B6E03">
        <w:t>條</w:t>
      </w:r>
    </w:p>
    <w:p w14:paraId="439FF6DC" w14:textId="22A50E4B"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有下列情形之一者，得拒絕被選任為國民法官、備位國民法官：</w:t>
      </w:r>
    </w:p>
    <w:p w14:paraId="57CDE97B" w14:textId="77777777" w:rsidR="003B6E03" w:rsidRDefault="000D4C99" w:rsidP="00674FCC">
      <w:pPr>
        <w:ind w:left="142"/>
        <w:jc w:val="both"/>
      </w:pPr>
      <w:r>
        <w:t xml:space="preserve">　　一、年滿七十歲以上者</w:t>
      </w:r>
      <w:r w:rsidR="003B6E03">
        <w:t>。</w:t>
      </w:r>
    </w:p>
    <w:p w14:paraId="3CC17A2D" w14:textId="0942F50D" w:rsidR="003B6E03" w:rsidRDefault="003B6E03" w:rsidP="00674FCC">
      <w:pPr>
        <w:ind w:left="142"/>
        <w:jc w:val="both"/>
      </w:pPr>
      <w:r>
        <w:t xml:space="preserve">　　二、</w:t>
      </w:r>
      <w:r w:rsidR="000D4C99">
        <w:t>公立或已立案私立學校之教師</w:t>
      </w:r>
      <w:r>
        <w:t>。</w:t>
      </w:r>
    </w:p>
    <w:p w14:paraId="5150ECE6" w14:textId="09D2EB24" w:rsidR="003B6E03" w:rsidRDefault="003B6E03" w:rsidP="00674FCC">
      <w:pPr>
        <w:ind w:left="142"/>
        <w:jc w:val="both"/>
      </w:pPr>
      <w:r>
        <w:t xml:space="preserve">　　三、</w:t>
      </w:r>
      <w:r w:rsidR="000D4C99">
        <w:t>公立或已立案私立學校之在校學生</w:t>
      </w:r>
      <w:r>
        <w:t>。</w:t>
      </w:r>
    </w:p>
    <w:p w14:paraId="5C9B66D8" w14:textId="3D49519E" w:rsidR="003B6E03" w:rsidRDefault="003B6E03" w:rsidP="00674FCC">
      <w:pPr>
        <w:ind w:left="142"/>
        <w:jc w:val="both"/>
      </w:pPr>
      <w:r>
        <w:t xml:space="preserve">　　四、</w:t>
      </w:r>
      <w:r w:rsidR="000D4C99">
        <w:t>有重大疾病、傷害、生理或心理因素致執行國民法官、備位國民法官職務顯有困難</w:t>
      </w:r>
      <w:r>
        <w:t>。</w:t>
      </w:r>
    </w:p>
    <w:p w14:paraId="4BDF9637" w14:textId="3E97474E" w:rsidR="003B6E03" w:rsidRDefault="003B6E03" w:rsidP="00674FCC">
      <w:pPr>
        <w:ind w:left="142"/>
        <w:jc w:val="both"/>
      </w:pPr>
      <w:r>
        <w:t xml:space="preserve">　　五、</w:t>
      </w:r>
      <w:r w:rsidR="000D4C99">
        <w:t>執行國民法官、備位國民法官職務有嚴重影響其身心健康之虞</w:t>
      </w:r>
      <w:r>
        <w:t>。</w:t>
      </w:r>
    </w:p>
    <w:p w14:paraId="1117A748" w14:textId="67436559" w:rsidR="003B6E03" w:rsidRDefault="003B6E03" w:rsidP="00674FCC">
      <w:pPr>
        <w:ind w:left="142"/>
        <w:jc w:val="both"/>
      </w:pPr>
      <w:r>
        <w:lastRenderedPageBreak/>
        <w:t xml:space="preserve">　　六、</w:t>
      </w:r>
      <w:r w:rsidR="000D4C99">
        <w:t>因看護、養育親屬致執行國民法官、備位國民法官職務顯有困難</w:t>
      </w:r>
      <w:r>
        <w:t>。</w:t>
      </w:r>
    </w:p>
    <w:p w14:paraId="22C45199" w14:textId="65519849" w:rsidR="003B6E03" w:rsidRDefault="003B6E03" w:rsidP="00674FCC">
      <w:pPr>
        <w:ind w:left="142"/>
        <w:jc w:val="both"/>
      </w:pPr>
      <w:r>
        <w:t xml:space="preserve">　　七、</w:t>
      </w:r>
      <w:r w:rsidR="000D4C99">
        <w:t>因重大災害生活所仰賴之基礎受顯著破壞，有處理為生活重建事務之必要時</w:t>
      </w:r>
      <w:r>
        <w:t>。</w:t>
      </w:r>
    </w:p>
    <w:p w14:paraId="35C06E44" w14:textId="7C1ADB95" w:rsidR="003B6E03" w:rsidRDefault="003B6E03" w:rsidP="00674FCC">
      <w:pPr>
        <w:ind w:left="142"/>
        <w:jc w:val="both"/>
      </w:pPr>
      <w:r>
        <w:t xml:space="preserve">　　八、</w:t>
      </w:r>
      <w:r w:rsidR="000D4C99">
        <w:t>因生活上、工作上、家庭上之重大需要致執行國民法官、備位國民法官職務顯有困難</w:t>
      </w:r>
      <w:r>
        <w:t>。</w:t>
      </w:r>
    </w:p>
    <w:p w14:paraId="62508B03" w14:textId="23882DB9" w:rsidR="003B6E03" w:rsidRDefault="003B6E03" w:rsidP="00674FCC">
      <w:pPr>
        <w:ind w:left="142"/>
        <w:jc w:val="both"/>
      </w:pPr>
      <w:r>
        <w:t xml:space="preserve">　　九、</w:t>
      </w:r>
      <w:r w:rsidR="000D4C99">
        <w:t>曾任國民法官或備位國民法官未滿五年</w:t>
      </w:r>
      <w:r>
        <w:t>。</w:t>
      </w:r>
    </w:p>
    <w:p w14:paraId="4534FDB6" w14:textId="2C89407D" w:rsidR="003B6E03" w:rsidRDefault="003B6E03" w:rsidP="00674FCC">
      <w:pPr>
        <w:ind w:left="142"/>
        <w:jc w:val="both"/>
      </w:pPr>
      <w:r>
        <w:t xml:space="preserve">　　十、</w:t>
      </w:r>
      <w:r w:rsidR="000D4C99">
        <w:t>除前款情形外，曾為候選國民法官經通知到庭未滿一年</w:t>
      </w:r>
      <w:r>
        <w:t>。</w:t>
      </w:r>
    </w:p>
    <w:p w14:paraId="507949F7" w14:textId="0196B6D0" w:rsidR="003B6E0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前項年齡及期間之計算，均以候選國民法官通知書送達之日為準</w:t>
      </w:r>
      <w:r w:rsidR="003B6E03">
        <w:rPr>
          <w:color w:val="17365D"/>
        </w:rPr>
        <w:t>。</w:t>
      </w:r>
    </w:p>
    <w:p w14:paraId="269027E5" w14:textId="7DC535CE" w:rsidR="00A47BE3" w:rsidRPr="00A47BE3" w:rsidRDefault="003B6E03" w:rsidP="00674FCC">
      <w:pPr>
        <w:ind w:left="142"/>
        <w:jc w:val="both"/>
        <w:rPr>
          <w:color w:val="17365D"/>
        </w:rPr>
      </w:pPr>
      <w:r>
        <w:rPr>
          <w:color w:val="17365D"/>
        </w:rP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7C013D0B" w14:textId="77777777" w:rsidR="000D4C99" w:rsidRDefault="000D4C99" w:rsidP="00674FCC">
      <w:pPr>
        <w:pStyle w:val="1"/>
        <w:jc w:val="both"/>
      </w:pPr>
      <w:bookmarkStart w:id="22" w:name="_第三章__國民法官及備位國民法官_2"/>
      <w:bookmarkEnd w:id="22"/>
      <w:r>
        <w:t>第三章　　國民法官及備位國民法官　　第三節　　國民法官及備位國民法官之選任</w:t>
      </w:r>
    </w:p>
    <w:p w14:paraId="0C4490EC" w14:textId="77777777" w:rsidR="003B6E03" w:rsidRDefault="000D4C99" w:rsidP="00674FCC">
      <w:pPr>
        <w:pStyle w:val="2"/>
        <w:jc w:val="both"/>
      </w:pPr>
      <w:bookmarkStart w:id="23" w:name="a17"/>
      <w:bookmarkEnd w:id="23"/>
      <w:r>
        <w:t>第</w:t>
      </w:r>
      <w:r>
        <w:t>17</w:t>
      </w:r>
      <w:r w:rsidR="003B6E03">
        <w:t>條</w:t>
      </w:r>
    </w:p>
    <w:p w14:paraId="6FEA310C" w14:textId="4C57E87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地方法院應於每年九月一日前，將所估算之次年度所需備選國民法官人數，通知管轄區域內之直轄市、縣（市）政府</w:t>
      </w:r>
      <w:r w:rsidR="003B6E03">
        <w:t>。</w:t>
      </w:r>
    </w:p>
    <w:p w14:paraId="4DE2E521" w14:textId="69A774F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前項之直轄市、縣（市）政府應於每年十月一日前，自地方法院管轄區域內具有第</w:t>
      </w:r>
      <w:hyperlink w:anchor="a12" w:history="1">
        <w:r w:rsidR="003B6E03" w:rsidRPr="00CD05AD">
          <w:rPr>
            <w:rStyle w:val="a3"/>
            <w:rFonts w:ascii="Times New Roman" w:hAnsi="Times New Roman"/>
          </w:rPr>
          <w:t>十二</w:t>
        </w:r>
      </w:hyperlink>
      <w:r w:rsidR="003B6E03" w:rsidRPr="00A47BE3">
        <w:rPr>
          <w:color w:val="17365D"/>
        </w:rPr>
        <w:t>條第一項之資格者，以隨機抽選方式選出地方法院所需人數之備選國民法官，造具備選國民法官初選名冊，送交地方法院</w:t>
      </w:r>
      <w:r w:rsidR="003B6E03">
        <w:t>。</w:t>
      </w:r>
    </w:p>
    <w:p w14:paraId="67E9D3CE" w14:textId="66B84480"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前項備選國民法官初選名冊之製作及</w:t>
      </w:r>
      <w:hyperlink r:id="rId21" w:history="1">
        <w:r w:rsidR="000D4C99" w:rsidRPr="00AB5D81">
          <w:rPr>
            <w:rStyle w:val="a3"/>
            <w:rFonts w:ascii="Times New Roman" w:hAnsi="Times New Roman"/>
          </w:rPr>
          <w:t>管理辦法</w:t>
        </w:r>
      </w:hyperlink>
      <w:r w:rsidR="000D4C99">
        <w:t>，由司法院會同行政院定之。</w:t>
      </w:r>
    </w:p>
    <w:p w14:paraId="6F009465" w14:textId="77777777" w:rsidR="003B6E03" w:rsidRDefault="000D4C99" w:rsidP="00674FCC">
      <w:pPr>
        <w:pStyle w:val="2"/>
        <w:jc w:val="both"/>
      </w:pPr>
      <w:bookmarkStart w:id="24" w:name="a18"/>
      <w:bookmarkEnd w:id="24"/>
      <w:r>
        <w:t>第</w:t>
      </w:r>
      <w:r>
        <w:t>18</w:t>
      </w:r>
      <w:r w:rsidR="003B6E03">
        <w:t>條</w:t>
      </w:r>
    </w:p>
    <w:p w14:paraId="5059BC92" w14:textId="0FCAC671"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各地方法院應設置備選國民法官審核小組，院長或其指定之人為當然委員兼召集人，其餘委員五人由院長聘任下列人員組成之：</w:t>
      </w:r>
    </w:p>
    <w:p w14:paraId="54D0AD58" w14:textId="77777777" w:rsidR="003B6E03" w:rsidRDefault="000D4C99" w:rsidP="00674FCC">
      <w:pPr>
        <w:ind w:left="142"/>
        <w:jc w:val="both"/>
      </w:pPr>
      <w:r>
        <w:t xml:space="preserve">　　一、該地方法院法官一人</w:t>
      </w:r>
      <w:r w:rsidR="003B6E03">
        <w:t>。</w:t>
      </w:r>
    </w:p>
    <w:p w14:paraId="0AABD04D" w14:textId="00F01F7B" w:rsidR="003B6E03" w:rsidRDefault="003B6E03" w:rsidP="00674FCC">
      <w:pPr>
        <w:ind w:left="142"/>
        <w:jc w:val="both"/>
      </w:pPr>
      <w:r>
        <w:t xml:space="preserve">　　二、</w:t>
      </w:r>
      <w:r w:rsidR="000D4C99">
        <w:t>該地方法院對應之檢察署檢察官一人</w:t>
      </w:r>
      <w:r>
        <w:t>。</w:t>
      </w:r>
    </w:p>
    <w:p w14:paraId="7ED5A992" w14:textId="7B37B5DD" w:rsidR="003B6E03" w:rsidRDefault="003B6E03" w:rsidP="00674FCC">
      <w:pPr>
        <w:ind w:left="142"/>
        <w:jc w:val="both"/>
      </w:pPr>
      <w:r>
        <w:t xml:space="preserve">　　三、</w:t>
      </w:r>
      <w:r w:rsidR="000D4C99">
        <w:t>該地方法院管轄區域內之直轄市、縣（市）政府民政局（處）長或其指派之代表一人</w:t>
      </w:r>
      <w:r>
        <w:t>。</w:t>
      </w:r>
    </w:p>
    <w:p w14:paraId="205E264B" w14:textId="6B20666F" w:rsidR="003B6E03" w:rsidRDefault="003B6E03" w:rsidP="00674FCC">
      <w:pPr>
        <w:ind w:left="142"/>
        <w:jc w:val="both"/>
      </w:pPr>
      <w:r>
        <w:t xml:space="preserve">　　四、</w:t>
      </w:r>
      <w:r w:rsidR="000D4C99">
        <w:t>該地方法院管轄區域內律師公會推薦之律師代表一人；管轄區域內無律師公會者，得由全國律師聯合會推薦之</w:t>
      </w:r>
      <w:r>
        <w:t>。</w:t>
      </w:r>
    </w:p>
    <w:p w14:paraId="1DA78B26" w14:textId="5D64A47C" w:rsidR="000D4C99" w:rsidRDefault="003B6E03" w:rsidP="00674FCC">
      <w:pPr>
        <w:ind w:left="142"/>
        <w:jc w:val="both"/>
      </w:pPr>
      <w:r>
        <w:t xml:space="preserve">　　五、</w:t>
      </w:r>
      <w:r w:rsidR="000D4C99">
        <w:t>前款以外之該地方法院管轄區域內之學者專家或社會公正人士一人。</w:t>
      </w:r>
    </w:p>
    <w:p w14:paraId="1EAA63E5" w14:textId="0997E6BE" w:rsidR="000D4C99" w:rsidRDefault="000D4C99" w:rsidP="00674FCC">
      <w:pPr>
        <w:pStyle w:val="2"/>
        <w:jc w:val="both"/>
      </w:pPr>
      <w:bookmarkStart w:id="25" w:name="a19"/>
      <w:bookmarkEnd w:id="25"/>
      <w:r>
        <w:t>第</w:t>
      </w:r>
      <w:r>
        <w:t>19</w:t>
      </w:r>
      <w:r>
        <w:t>條</w:t>
      </w:r>
      <w:r w:rsidR="00C2413D" w:rsidRPr="00C2413D">
        <w:rPr>
          <w:rFonts w:hint="eastAsia"/>
          <w:b w:val="0"/>
          <w:color w:val="5F5F5F"/>
          <w:sz w:val="18"/>
        </w:rPr>
        <w:t>【相關罰則】</w:t>
      </w:r>
      <w:r w:rsidR="00C2413D" w:rsidRPr="00C2413D">
        <w:rPr>
          <w:rFonts w:hint="eastAsia"/>
          <w:b w:val="0"/>
          <w:color w:val="5F5F5F"/>
          <w:sz w:val="18"/>
          <w:szCs w:val="20"/>
        </w:rPr>
        <w:t>第四項</w:t>
      </w:r>
      <w:r w:rsidR="00C2413D" w:rsidRPr="00C2413D">
        <w:rPr>
          <w:rFonts w:hint="eastAsia"/>
          <w:b w:val="0"/>
          <w:color w:val="5F5F5F"/>
          <w:sz w:val="18"/>
        </w:rPr>
        <w:t>～</w:t>
      </w:r>
      <w:hyperlink w:anchor="a98" w:history="1">
        <w:r w:rsidR="00C2413D">
          <w:rPr>
            <w:rStyle w:val="a3"/>
            <w:rFonts w:ascii="Arial Unicode MS" w:hAnsi="Arial Unicode MS"/>
            <w:b w:val="0"/>
            <w:color w:val="5F5F5F"/>
            <w:sz w:val="18"/>
          </w:rPr>
          <w:t>§98</w:t>
        </w:r>
      </w:hyperlink>
    </w:p>
    <w:p w14:paraId="29DED30A" w14:textId="32D7B843" w:rsidR="000D4C99" w:rsidRDefault="005560B7" w:rsidP="00674FCC">
      <w:pPr>
        <w:ind w:left="142"/>
        <w:jc w:val="both"/>
      </w:pPr>
      <w:r w:rsidRPr="005560B7">
        <w:rPr>
          <w:rFonts w:asciiTheme="minorHAnsi" w:hAnsiTheme="minorHAnsi"/>
          <w:color w:val="404040" w:themeColor="text1" w:themeTint="BF"/>
          <w:sz w:val="18"/>
        </w:rPr>
        <w:t>﹝</w:t>
      </w:r>
      <w:r w:rsidR="00247DE0">
        <w:rPr>
          <w:rFonts w:asciiTheme="minorHAnsi" w:hAnsiTheme="minorHAnsi"/>
          <w:color w:val="404040" w:themeColor="text1" w:themeTint="BF"/>
          <w:sz w:val="18"/>
        </w:rPr>
        <w:t>1</w:t>
      </w:r>
      <w:r w:rsidR="00247DE0" w:rsidRPr="003B6E03">
        <w:rPr>
          <w:rFonts w:asciiTheme="minorHAnsi" w:hAnsiTheme="minorHAnsi"/>
          <w:color w:val="404040" w:themeColor="text1" w:themeTint="BF"/>
          <w:sz w:val="18"/>
        </w:rPr>
        <w:t>﹞</w:t>
      </w:r>
      <w:r w:rsidR="000D4C99">
        <w:t>備選國民法官審核小組之職權如下：</w:t>
      </w:r>
    </w:p>
    <w:p w14:paraId="168D5C79" w14:textId="77777777" w:rsidR="003B6E03" w:rsidRDefault="000D4C99" w:rsidP="00674FCC">
      <w:pPr>
        <w:ind w:left="142"/>
        <w:jc w:val="both"/>
      </w:pPr>
      <w:r>
        <w:t xml:space="preserve">　　一、審查直轄市、縣（市）政府製作之備選國民法官初選名冊是否正確</w:t>
      </w:r>
      <w:r w:rsidR="003B6E03">
        <w:t>。</w:t>
      </w:r>
    </w:p>
    <w:p w14:paraId="3682F3B7" w14:textId="6E5BEB52" w:rsidR="003B6E03" w:rsidRDefault="003B6E03" w:rsidP="00674FCC">
      <w:pPr>
        <w:ind w:left="142"/>
        <w:jc w:val="both"/>
      </w:pPr>
      <w:r>
        <w:t xml:space="preserve">　　二、</w:t>
      </w:r>
      <w:r w:rsidR="000D4C99">
        <w:t>審查備選國民法官有無第</w:t>
      </w:r>
      <w:hyperlink w:anchor="a13" w:history="1">
        <w:r w:rsidR="000D4C99" w:rsidRPr="00CD05AD">
          <w:rPr>
            <w:rStyle w:val="a3"/>
            <w:rFonts w:ascii="Times New Roman" w:hAnsi="Times New Roman"/>
          </w:rPr>
          <w:t>十三</w:t>
        </w:r>
      </w:hyperlink>
      <w:r w:rsidR="000D4C99">
        <w:t>條或第</w:t>
      </w:r>
      <w:hyperlink w:anchor="a14" w:history="1">
        <w:r w:rsidR="000D4C99" w:rsidRPr="00CD05AD">
          <w:rPr>
            <w:rStyle w:val="a3"/>
            <w:rFonts w:ascii="Times New Roman" w:hAnsi="Times New Roman"/>
          </w:rPr>
          <w:t>十四</w:t>
        </w:r>
      </w:hyperlink>
      <w:r w:rsidR="000D4C99">
        <w:t>條所定情形</w:t>
      </w:r>
      <w:r>
        <w:t>。</w:t>
      </w:r>
    </w:p>
    <w:p w14:paraId="2B3C318F" w14:textId="66EAB8A1" w:rsidR="003B6E03" w:rsidRDefault="003B6E03" w:rsidP="00674FCC">
      <w:pPr>
        <w:ind w:left="142"/>
        <w:jc w:val="both"/>
      </w:pPr>
      <w:r>
        <w:t xml:space="preserve">　　三、</w:t>
      </w:r>
      <w:r w:rsidR="000D4C99">
        <w:t>造具備選國民法官複選名冊</w:t>
      </w:r>
      <w:r>
        <w:t>。</w:t>
      </w:r>
    </w:p>
    <w:p w14:paraId="03248BEF" w14:textId="4DE448D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備選國民法官審核小組為前項審查之必要，得蒐集資料及調查，相關資料保管機關應予配合</w:t>
      </w:r>
      <w:r w:rsidR="003B6E03">
        <w:t>。</w:t>
      </w:r>
    </w:p>
    <w:p w14:paraId="27E0F226" w14:textId="0F4B688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前二項備選國民法官審核小組審查程序、蒐集資料與調查方法及其他職權行使事項之</w:t>
      </w:r>
      <w:hyperlink r:id="rId22" w:history="1">
        <w:r w:rsidR="003B6E03" w:rsidRPr="00BD7FF8">
          <w:rPr>
            <w:rStyle w:val="a3"/>
            <w:rFonts w:ascii="Times New Roman" w:hAnsi="Times New Roman"/>
          </w:rPr>
          <w:t>辦法</w:t>
        </w:r>
      </w:hyperlink>
      <w:r w:rsidR="003B6E03">
        <w:t>，由司法院定之。</w:t>
      </w:r>
    </w:p>
    <w:p w14:paraId="5D42750E" w14:textId="36FAE245"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A47BE3">
        <w:rPr>
          <w:color w:val="17365D"/>
        </w:rPr>
        <w:t>備選國民法官審核小組委員及其他參與人員因執行職務所知悉之個人資料，應予保密。</w:t>
      </w:r>
    </w:p>
    <w:p w14:paraId="1F86F93D" w14:textId="77777777" w:rsidR="003B6E03" w:rsidRDefault="000D4C99" w:rsidP="00674FCC">
      <w:pPr>
        <w:pStyle w:val="2"/>
        <w:jc w:val="both"/>
      </w:pPr>
      <w:bookmarkStart w:id="26" w:name="a20"/>
      <w:bookmarkEnd w:id="26"/>
      <w:r>
        <w:t>第</w:t>
      </w:r>
      <w:r>
        <w:t>20</w:t>
      </w:r>
      <w:r w:rsidR="003B6E03">
        <w:t>條</w:t>
      </w:r>
    </w:p>
    <w:p w14:paraId="406BCAFB" w14:textId="6416090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地方法院於備選國民法官複選名冊造具完成後，應以書面通知名冊內之各備選國民法官。</w:t>
      </w:r>
    </w:p>
    <w:p w14:paraId="2A3932B5" w14:textId="77777777" w:rsidR="003B6E03" w:rsidRDefault="000D4C99" w:rsidP="00674FCC">
      <w:pPr>
        <w:pStyle w:val="2"/>
        <w:jc w:val="both"/>
      </w:pPr>
      <w:bookmarkStart w:id="27" w:name="a21"/>
      <w:bookmarkEnd w:id="27"/>
      <w:r>
        <w:t>第</w:t>
      </w:r>
      <w:r>
        <w:t>21</w:t>
      </w:r>
      <w:r w:rsidR="003B6E03">
        <w:t>條</w:t>
      </w:r>
    </w:p>
    <w:p w14:paraId="776EA548" w14:textId="0B75975F"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行國民參與審判之案件，於審判期日之訴訟程序前，法院應自備選國民法官複選名冊中，以隨機抽選方式選出該案所需人數之候選國民法官，並為必要之調查，以審核其有無不具第</w:t>
      </w:r>
      <w:hyperlink w:anchor="a12" w:history="1">
        <w:r w:rsidR="00CD05AD" w:rsidRPr="00CD05AD">
          <w:rPr>
            <w:rStyle w:val="a3"/>
            <w:rFonts w:ascii="Times New Roman" w:hAnsi="Times New Roman"/>
          </w:rPr>
          <w:t>十二</w:t>
        </w:r>
      </w:hyperlink>
      <w:r w:rsidR="000D4C99">
        <w:t>條第一項所定資格，或有第</w:t>
      </w:r>
      <w:hyperlink w:anchor="a13" w:history="1">
        <w:r w:rsidR="00CD05AD" w:rsidRPr="00CD05AD">
          <w:rPr>
            <w:rStyle w:val="a3"/>
            <w:rFonts w:ascii="Times New Roman" w:hAnsi="Times New Roman"/>
          </w:rPr>
          <w:t>十三</w:t>
        </w:r>
      </w:hyperlink>
      <w:r w:rsidR="000D4C99">
        <w:t>條至第十五條所定情形而應予除名</w:t>
      </w:r>
      <w:r w:rsidR="003B6E03">
        <w:t>。</w:t>
      </w:r>
    </w:p>
    <w:p w14:paraId="56B1454B" w14:textId="6AD42E22"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前項情形，如候選國民法官不足該案所需人數，法院應依前項規定抽選審核補足之。</w:t>
      </w:r>
    </w:p>
    <w:p w14:paraId="1618B877" w14:textId="77777777" w:rsidR="003B6E03" w:rsidRDefault="000D4C99" w:rsidP="00674FCC">
      <w:pPr>
        <w:pStyle w:val="2"/>
        <w:jc w:val="both"/>
      </w:pPr>
      <w:bookmarkStart w:id="28" w:name="a22"/>
      <w:bookmarkEnd w:id="28"/>
      <w:r>
        <w:lastRenderedPageBreak/>
        <w:t>第</w:t>
      </w:r>
      <w:r>
        <w:t>22</w:t>
      </w:r>
      <w:r w:rsidR="003B6E03">
        <w:t>條</w:t>
      </w:r>
    </w:p>
    <w:p w14:paraId="36140771" w14:textId="7751C0A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法院應於國民法官選任期日三十日前，以書面通知候選國民法官於選任期日到庭</w:t>
      </w:r>
      <w:r w:rsidR="003B6E03">
        <w:t>。</w:t>
      </w:r>
    </w:p>
    <w:p w14:paraId="13A48F2B" w14:textId="6FD0A31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前項通知，應併檢附國民參與審判制度概要說明書、候選國民法官調查表；候選國民法官應就調查表據實填載之，並於選任期日十日前送交法院</w:t>
      </w:r>
      <w:r w:rsidR="003B6E03">
        <w:t>。</w:t>
      </w:r>
    </w:p>
    <w:p w14:paraId="4C3CEF19" w14:textId="50DB488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前項說明書及調查表應記載之事項，由司法院</w:t>
      </w:r>
      <w:hyperlink r:id="rId23" w:history="1">
        <w:r w:rsidR="003B6E03" w:rsidRPr="00BE6515">
          <w:rPr>
            <w:rStyle w:val="a3"/>
            <w:rFonts w:ascii="Times New Roman" w:hAnsi="Times New Roman"/>
          </w:rPr>
          <w:t>定之</w:t>
        </w:r>
      </w:hyperlink>
      <w:r w:rsidR="003B6E03">
        <w:t>。</w:t>
      </w:r>
    </w:p>
    <w:p w14:paraId="74070965" w14:textId="6EAE014B"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A47BE3">
        <w:rPr>
          <w:color w:val="17365D"/>
        </w:rPr>
        <w:t>法院於收受第二項之調查表後，應為必要之調查，如有不具第</w:t>
      </w:r>
      <w:hyperlink w:anchor="a12" w:history="1">
        <w:r w:rsidR="000D4C99" w:rsidRPr="00CD05AD">
          <w:rPr>
            <w:rStyle w:val="a3"/>
            <w:rFonts w:ascii="Times New Roman" w:hAnsi="Times New Roman"/>
          </w:rPr>
          <w:t>十二</w:t>
        </w:r>
      </w:hyperlink>
      <w:r w:rsidR="000D4C99" w:rsidRPr="00A47BE3">
        <w:rPr>
          <w:color w:val="17365D"/>
        </w:rPr>
        <w:t>條第一項所定資格，或有第</w:t>
      </w:r>
      <w:hyperlink w:anchor="a13" w:history="1">
        <w:r w:rsidR="00CD05AD" w:rsidRPr="00CD05AD">
          <w:rPr>
            <w:rStyle w:val="a3"/>
            <w:rFonts w:ascii="Times New Roman" w:hAnsi="Times New Roman"/>
          </w:rPr>
          <w:t>十三</w:t>
        </w:r>
      </w:hyperlink>
      <w:r w:rsidR="000D4C99" w:rsidRPr="00A47BE3">
        <w:rPr>
          <w:color w:val="17365D"/>
        </w:rPr>
        <w:t>條至第十五條所定情形，或有第</w:t>
      </w:r>
      <w:hyperlink w:anchor="a16" w:history="1">
        <w:r w:rsidR="000D4C99" w:rsidRPr="00CD05AD">
          <w:rPr>
            <w:rStyle w:val="a3"/>
            <w:rFonts w:ascii="Times New Roman" w:hAnsi="Times New Roman"/>
          </w:rPr>
          <w:t>十六</w:t>
        </w:r>
      </w:hyperlink>
      <w:r w:rsidR="000D4C99" w:rsidRPr="00A47BE3">
        <w:rPr>
          <w:color w:val="17365D"/>
        </w:rPr>
        <w:t>條所定情形且經其陳明拒絕被選任者，應予除名，並通知之。</w:t>
      </w:r>
    </w:p>
    <w:p w14:paraId="7BE644A3" w14:textId="77777777" w:rsidR="003B6E03" w:rsidRDefault="000D4C99" w:rsidP="00674FCC">
      <w:pPr>
        <w:pStyle w:val="2"/>
        <w:jc w:val="both"/>
      </w:pPr>
      <w:bookmarkStart w:id="29" w:name="a23"/>
      <w:bookmarkEnd w:id="29"/>
      <w:r>
        <w:t>第</w:t>
      </w:r>
      <w:r>
        <w:t>23</w:t>
      </w:r>
      <w:r w:rsidR="003B6E03">
        <w:t>條</w:t>
      </w:r>
    </w:p>
    <w:p w14:paraId="1209483E" w14:textId="24650CD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法院應於國民法官選任期日二日前，將應到庭之候選國民法官名冊，送交檢察官及辯護人</w:t>
      </w:r>
      <w:r w:rsidR="003B6E03">
        <w:t>。</w:t>
      </w:r>
    </w:p>
    <w:p w14:paraId="2228DEC1" w14:textId="504520AD"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法院為進行國民法官選任程序，應將應到庭之候選國民法官之調查表，提供檢察官及辯護人檢閱。但不得抄錄或攝影。</w:t>
      </w:r>
    </w:p>
    <w:p w14:paraId="5CCDFEE8" w14:textId="77777777" w:rsidR="003B6E03" w:rsidRDefault="000D4C99" w:rsidP="00674FCC">
      <w:pPr>
        <w:pStyle w:val="2"/>
        <w:jc w:val="both"/>
      </w:pPr>
      <w:bookmarkStart w:id="30" w:name="a24"/>
      <w:bookmarkEnd w:id="30"/>
      <w:r>
        <w:t>第</w:t>
      </w:r>
      <w:r>
        <w:t>24</w:t>
      </w:r>
      <w:r w:rsidR="003B6E03">
        <w:t>條</w:t>
      </w:r>
    </w:p>
    <w:p w14:paraId="370F9161" w14:textId="27AFA950"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國民法官選任期日，法院應通知當事人及辯護人</w:t>
      </w:r>
      <w:r w:rsidR="003B6E03">
        <w:t>。</w:t>
      </w:r>
    </w:p>
    <w:p w14:paraId="479EDA9B" w14:textId="0D2C3DD5"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被告於選任期日得不到場。法院認為不適當者，亦得禁止或限制被告在場。</w:t>
      </w:r>
    </w:p>
    <w:p w14:paraId="1E24EDF7" w14:textId="77777777" w:rsidR="003B6E03" w:rsidRDefault="000D4C99" w:rsidP="00674FCC">
      <w:pPr>
        <w:pStyle w:val="2"/>
        <w:jc w:val="both"/>
      </w:pPr>
      <w:bookmarkStart w:id="31" w:name="a25"/>
      <w:bookmarkEnd w:id="31"/>
      <w:r>
        <w:t>第</w:t>
      </w:r>
      <w:r>
        <w:t>25</w:t>
      </w:r>
      <w:r w:rsidR="003B6E03">
        <w:t>條</w:t>
      </w:r>
    </w:p>
    <w:p w14:paraId="1ED85DEE" w14:textId="2095ABF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國民法官選任程序，不公開之；非經檢察官、辯護人到庭，不得進行</w:t>
      </w:r>
      <w:r w:rsidR="003B6E03">
        <w:t>。</w:t>
      </w:r>
    </w:p>
    <w:p w14:paraId="78612D8A" w14:textId="0453207C"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法院為續行國民法官選任程序，經面告以下次應到之日、時、處所，及不到場之處罰，並記明筆錄者，與已送達通知有同一之效力。</w:t>
      </w:r>
    </w:p>
    <w:p w14:paraId="792C5765" w14:textId="0A527369" w:rsidR="000D4C99" w:rsidRDefault="000D4C99" w:rsidP="00674FCC">
      <w:pPr>
        <w:pStyle w:val="2"/>
        <w:jc w:val="both"/>
      </w:pPr>
      <w:bookmarkStart w:id="32" w:name="a26"/>
      <w:bookmarkEnd w:id="32"/>
      <w:r>
        <w:t>第</w:t>
      </w:r>
      <w:r>
        <w:t>26</w:t>
      </w:r>
      <w:r>
        <w:t>條</w:t>
      </w:r>
      <w:r w:rsidR="00C2413D" w:rsidRPr="00C2413D">
        <w:rPr>
          <w:rFonts w:hint="eastAsia"/>
          <w:b w:val="0"/>
          <w:color w:val="5F5F5F"/>
          <w:sz w:val="18"/>
        </w:rPr>
        <w:t>【相關罰則】</w:t>
      </w:r>
      <w:r w:rsidR="00C2413D" w:rsidRPr="00C2413D">
        <w:rPr>
          <w:rFonts w:hint="eastAsia"/>
          <w:b w:val="0"/>
          <w:color w:val="5F5F5F"/>
          <w:sz w:val="18"/>
          <w:szCs w:val="20"/>
        </w:rPr>
        <w:t>第五項</w:t>
      </w:r>
      <w:r w:rsidR="00C2413D" w:rsidRPr="00C2413D">
        <w:rPr>
          <w:rFonts w:hint="eastAsia"/>
          <w:b w:val="0"/>
          <w:color w:val="5F5F5F"/>
          <w:sz w:val="18"/>
        </w:rPr>
        <w:t>～</w:t>
      </w:r>
      <w:hyperlink w:anchor="a98" w:history="1">
        <w:r w:rsidR="00C2413D">
          <w:rPr>
            <w:rStyle w:val="a3"/>
            <w:rFonts w:ascii="Arial Unicode MS" w:hAnsi="Arial Unicode MS"/>
            <w:b w:val="0"/>
            <w:color w:val="5F5F5F"/>
            <w:sz w:val="18"/>
          </w:rPr>
          <w:t>§98</w:t>
        </w:r>
      </w:hyperlink>
    </w:p>
    <w:p w14:paraId="2D33F706" w14:textId="3F376129" w:rsidR="003B6E03" w:rsidRDefault="005560B7" w:rsidP="00674FCC">
      <w:pPr>
        <w:ind w:left="142"/>
        <w:jc w:val="both"/>
      </w:pPr>
      <w:r w:rsidRPr="005560B7">
        <w:rPr>
          <w:rFonts w:asciiTheme="minorHAnsi" w:hAnsiTheme="minorHAnsi"/>
          <w:color w:val="404040" w:themeColor="text1" w:themeTint="BF"/>
          <w:sz w:val="18"/>
        </w:rPr>
        <w:t>﹝</w:t>
      </w:r>
      <w:r w:rsidR="00247DE0" w:rsidRPr="003B6E03">
        <w:rPr>
          <w:rFonts w:asciiTheme="minorHAnsi" w:hAnsiTheme="minorHAnsi"/>
          <w:color w:val="404040" w:themeColor="text1" w:themeTint="BF"/>
          <w:sz w:val="18"/>
        </w:rPr>
        <w:t>1</w:t>
      </w:r>
      <w:r w:rsidR="00247DE0" w:rsidRPr="003B6E03">
        <w:rPr>
          <w:rFonts w:asciiTheme="minorHAnsi" w:hAnsiTheme="minorHAnsi"/>
          <w:color w:val="404040" w:themeColor="text1" w:themeTint="BF"/>
          <w:sz w:val="18"/>
        </w:rPr>
        <w:t>﹞</w:t>
      </w:r>
      <w:r w:rsidR="000D4C99">
        <w:t>法院為踐行第</w:t>
      </w:r>
      <w:hyperlink w:anchor="a27" w:history="1">
        <w:r w:rsidR="000D4C99" w:rsidRPr="00CD05AD">
          <w:rPr>
            <w:rStyle w:val="a3"/>
            <w:rFonts w:ascii="Times New Roman" w:hAnsi="Times New Roman"/>
          </w:rPr>
          <w:t>二十七</w:t>
        </w:r>
      </w:hyperlink>
      <w:r w:rsidR="000D4C99">
        <w:t>條之程序，得隨時依職權或檢察官、辯護人之聲請，對到庭之候選國民法官進行詢問</w:t>
      </w:r>
      <w:r w:rsidR="003B6E03">
        <w:t>。</w:t>
      </w:r>
    </w:p>
    <w:p w14:paraId="58E7D7C1" w14:textId="27096AE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前項詢問，經法院認為適當者，得由檢察官或辯護人直接行之</w:t>
      </w:r>
      <w:r w:rsidR="003B6E03">
        <w:t>。</w:t>
      </w:r>
    </w:p>
    <w:p w14:paraId="5A1AB6AA" w14:textId="3285498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前二項之詢問，法院得視情形對候選國民法官之全體、部分或個別為之，且不以一次為限。</w:t>
      </w:r>
    </w:p>
    <w:p w14:paraId="510173F0" w14:textId="5768808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A47BE3">
        <w:rPr>
          <w:color w:val="17365D"/>
        </w:rPr>
        <w:t>候選國民法官對於第一項、第二項之詢問，不得為虛偽之陳述；非有正當理由，不得拒絕陳述</w:t>
      </w:r>
      <w:r w:rsidR="003B6E03">
        <w:t>。</w:t>
      </w:r>
    </w:p>
    <w:p w14:paraId="06D2CFA9" w14:textId="4EC1E69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3B6E03">
        <w:t>候選國民法官不得洩漏因參與選任期日而知悉之秘密。</w:t>
      </w:r>
    </w:p>
    <w:p w14:paraId="47A74E58" w14:textId="5D3EE714"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6</w:t>
      </w:r>
      <w:r w:rsidR="003B6E03" w:rsidRPr="003B6E03">
        <w:rPr>
          <w:rFonts w:asciiTheme="minorHAnsi" w:hAnsiTheme="minorHAnsi"/>
          <w:color w:val="404040" w:themeColor="text1" w:themeTint="BF"/>
          <w:sz w:val="18"/>
        </w:rPr>
        <w:t>﹞</w:t>
      </w:r>
      <w:r w:rsidR="000D4C99" w:rsidRPr="00A47BE3">
        <w:rPr>
          <w:color w:val="17365D"/>
        </w:rPr>
        <w:t>法院應於第一次詢問前，告知候選國民法官前二項義務及違反之法律效果。</w:t>
      </w:r>
    </w:p>
    <w:p w14:paraId="3874F75A" w14:textId="77777777" w:rsidR="003B6E03" w:rsidRDefault="000D4C99" w:rsidP="00674FCC">
      <w:pPr>
        <w:pStyle w:val="2"/>
        <w:jc w:val="both"/>
      </w:pPr>
      <w:bookmarkStart w:id="33" w:name="a27"/>
      <w:bookmarkEnd w:id="33"/>
      <w:r>
        <w:t>第</w:t>
      </w:r>
      <w:r>
        <w:t>27</w:t>
      </w:r>
      <w:r w:rsidR="003B6E03">
        <w:t>條</w:t>
      </w:r>
    </w:p>
    <w:p w14:paraId="555744EE" w14:textId="4BA07E5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候選國民法官不具第</w:t>
      </w:r>
      <w:hyperlink w:anchor="a12" w:history="1">
        <w:r w:rsidR="000D4C99" w:rsidRPr="00CD05AD">
          <w:rPr>
            <w:rStyle w:val="a3"/>
            <w:rFonts w:ascii="Times New Roman" w:hAnsi="Times New Roman"/>
          </w:rPr>
          <w:t>十二</w:t>
        </w:r>
      </w:hyperlink>
      <w:r w:rsidR="000D4C99">
        <w:t>條第一項所定資格，或有</w:t>
      </w:r>
      <w:r w:rsidR="004F1EF1" w:rsidRPr="00A47BE3">
        <w:rPr>
          <w:color w:val="17365D"/>
        </w:rPr>
        <w:t>第</w:t>
      </w:r>
      <w:hyperlink w:anchor="a13" w:history="1">
        <w:r w:rsidR="004F1EF1" w:rsidRPr="00CD05AD">
          <w:rPr>
            <w:rStyle w:val="a3"/>
            <w:rFonts w:ascii="Times New Roman" w:hAnsi="Times New Roman"/>
          </w:rPr>
          <w:t>十三</w:t>
        </w:r>
      </w:hyperlink>
      <w:r w:rsidR="004F1EF1" w:rsidRPr="00A47BE3">
        <w:rPr>
          <w:color w:val="17365D"/>
        </w:rPr>
        <w:t>條</w:t>
      </w:r>
      <w:r w:rsidR="000D4C99">
        <w:t>至第十五條所定情形，或違反第</w:t>
      </w:r>
      <w:hyperlink w:anchor="a26" w:history="1">
        <w:r w:rsidR="000D4C99" w:rsidRPr="004F1EF1">
          <w:rPr>
            <w:rStyle w:val="a3"/>
            <w:rFonts w:ascii="Times New Roman" w:hAnsi="Times New Roman"/>
          </w:rPr>
          <w:t>二十六</w:t>
        </w:r>
      </w:hyperlink>
      <w:r w:rsidR="000D4C99">
        <w:t>條第四項規定者，法院應依職權或當事人、辯護人之聲請，裁定不選任之。但辯護人依第</w:t>
      </w:r>
      <w:hyperlink w:anchor="a15" w:history="1">
        <w:r w:rsidR="000D4C99" w:rsidRPr="004F1EF1">
          <w:rPr>
            <w:rStyle w:val="a3"/>
            <w:rFonts w:ascii="Times New Roman" w:hAnsi="Times New Roman"/>
          </w:rPr>
          <w:t>十五</w:t>
        </w:r>
      </w:hyperlink>
      <w:r w:rsidR="000D4C99">
        <w:t>條第九款所為之聲請，不得與被告明示之意思相反</w:t>
      </w:r>
      <w:r w:rsidR="003B6E03">
        <w:t>。</w:t>
      </w:r>
    </w:p>
    <w:p w14:paraId="4757177D" w14:textId="2BC48623"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法院認候選國民法官有第</w:t>
      </w:r>
      <w:hyperlink w:anchor="a16" w:history="1">
        <w:r w:rsidR="004F1EF1" w:rsidRPr="00CD05AD">
          <w:rPr>
            <w:rStyle w:val="a3"/>
            <w:rFonts w:ascii="Times New Roman" w:hAnsi="Times New Roman"/>
          </w:rPr>
          <w:t>十六</w:t>
        </w:r>
      </w:hyperlink>
      <w:r w:rsidR="000D4C99" w:rsidRPr="00A47BE3">
        <w:rPr>
          <w:color w:val="17365D"/>
        </w:rPr>
        <w:t>條第一項所定情形，且經其陳明拒絕被選任者，應為不選任之裁定。</w:t>
      </w:r>
    </w:p>
    <w:p w14:paraId="6B379A3B" w14:textId="77777777" w:rsidR="003B6E03" w:rsidRDefault="000D4C99" w:rsidP="00674FCC">
      <w:pPr>
        <w:pStyle w:val="2"/>
        <w:jc w:val="both"/>
      </w:pPr>
      <w:bookmarkStart w:id="34" w:name="a28"/>
      <w:bookmarkEnd w:id="34"/>
      <w:r>
        <w:t>第</w:t>
      </w:r>
      <w:r>
        <w:t>28</w:t>
      </w:r>
      <w:r w:rsidR="003B6E03">
        <w:t>條</w:t>
      </w:r>
    </w:p>
    <w:p w14:paraId="3A0989FF" w14:textId="0EC5042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檢察官、被告與辯護人，於前條所定程序後，另得不附理由聲請法院不選任特定之候選國民法官。但檢察官、被告與辯護人雙方各不得逾四人</w:t>
      </w:r>
      <w:r w:rsidR="003B6E03">
        <w:t>。</w:t>
      </w:r>
    </w:p>
    <w:p w14:paraId="56AE1DE7" w14:textId="4243913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辯護人之聲請，不得與被告明示之意思相反</w:t>
      </w:r>
      <w:r w:rsidR="003B6E03">
        <w:t>。</w:t>
      </w:r>
    </w:p>
    <w:p w14:paraId="02803DCE" w14:textId="5050543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雙方均提出第一項聲請者，應交互為之，並由檢察官先行聲請。</w:t>
      </w:r>
    </w:p>
    <w:p w14:paraId="1BADF415" w14:textId="24207F36"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A47BE3">
        <w:rPr>
          <w:color w:val="17365D"/>
        </w:rPr>
        <w:t>法院對於第一項之聲請，應為不選任之裁定。</w:t>
      </w:r>
    </w:p>
    <w:p w14:paraId="4CD16EE0" w14:textId="77777777" w:rsidR="003B6E03" w:rsidRDefault="000D4C99" w:rsidP="00674FCC">
      <w:pPr>
        <w:pStyle w:val="2"/>
        <w:jc w:val="both"/>
      </w:pPr>
      <w:bookmarkStart w:id="35" w:name="a29"/>
      <w:bookmarkEnd w:id="35"/>
      <w:r>
        <w:lastRenderedPageBreak/>
        <w:t>第</w:t>
      </w:r>
      <w:r>
        <w:t>29</w:t>
      </w:r>
      <w:r w:rsidR="003B6E03">
        <w:t>條</w:t>
      </w:r>
    </w:p>
    <w:p w14:paraId="101D727F" w14:textId="268AC36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法院應於踐行前二條之程序後，自到庭且未受不選任裁定之候選國民法官中，以抽籤方式抽選六名國民法官及所需人數之備位國民法官</w:t>
      </w:r>
      <w:r w:rsidR="003B6E03">
        <w:t>。</w:t>
      </w:r>
    </w:p>
    <w:p w14:paraId="01E62246" w14:textId="756ECF7C"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備位國民法官經選出後，應編定其遞補序號。</w:t>
      </w:r>
    </w:p>
    <w:p w14:paraId="19C22A8A" w14:textId="77777777" w:rsidR="003B6E03" w:rsidRDefault="000D4C99" w:rsidP="00674FCC">
      <w:pPr>
        <w:pStyle w:val="2"/>
        <w:jc w:val="both"/>
      </w:pPr>
      <w:bookmarkStart w:id="36" w:name="a30"/>
      <w:bookmarkEnd w:id="36"/>
      <w:r>
        <w:t>第</w:t>
      </w:r>
      <w:r>
        <w:t>30</w:t>
      </w:r>
      <w:r w:rsidR="003B6E03">
        <w:t>條</w:t>
      </w:r>
    </w:p>
    <w:p w14:paraId="1D46C3FC" w14:textId="19E88C5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除依前條之抽選方式外，法院認有必要且經檢察官、辯護人同意者，得先以抽籤方式自到庭之候選國民法官中抽出一定人數，對其編定序號並為第</w:t>
      </w:r>
      <w:hyperlink w:anchor="a27" w:history="1">
        <w:r w:rsidR="000D4C99" w:rsidRPr="004F1EF1">
          <w:rPr>
            <w:rStyle w:val="a3"/>
            <w:rFonts w:ascii="Times New Roman" w:hAnsi="Times New Roman"/>
          </w:rPr>
          <w:t>二十七</w:t>
        </w:r>
      </w:hyperlink>
      <w:r w:rsidR="000D4C99">
        <w:t>條、第</w:t>
      </w:r>
      <w:hyperlink w:anchor="a28" w:history="1">
        <w:r w:rsidR="000D4C99" w:rsidRPr="004F1EF1">
          <w:rPr>
            <w:rStyle w:val="a3"/>
            <w:rFonts w:ascii="Times New Roman" w:hAnsi="Times New Roman"/>
          </w:rPr>
          <w:t>二十八</w:t>
        </w:r>
      </w:hyperlink>
      <w:r w:rsidR="000D4C99">
        <w:t>條之不選任裁定。經抽出且未受裁定不選任者，依序號順次定為國民法官、備位國民法官至足額為止</w:t>
      </w:r>
      <w:r w:rsidR="003B6E03">
        <w:t>。</w:t>
      </w:r>
    </w:p>
    <w:p w14:paraId="27BF6076" w14:textId="47E6D60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法院為選出足額之國民法官及備位國民法官，得重複為前項之程序</w:t>
      </w:r>
      <w:r w:rsidR="003B6E03">
        <w:t>。</w:t>
      </w:r>
    </w:p>
    <w:p w14:paraId="26083DA6" w14:textId="1CB89842"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前條第二項規定，於前二項之情形準用之。</w:t>
      </w:r>
    </w:p>
    <w:p w14:paraId="2021E9AA" w14:textId="77777777" w:rsidR="003B6E03" w:rsidRDefault="000D4C99" w:rsidP="00674FCC">
      <w:pPr>
        <w:pStyle w:val="2"/>
        <w:jc w:val="both"/>
      </w:pPr>
      <w:bookmarkStart w:id="37" w:name="a31"/>
      <w:bookmarkEnd w:id="37"/>
      <w:r>
        <w:t>第</w:t>
      </w:r>
      <w:r>
        <w:t>31</w:t>
      </w:r>
      <w:r w:rsidR="003B6E03">
        <w:t>條</w:t>
      </w:r>
    </w:p>
    <w:p w14:paraId="01F5C162" w14:textId="0C3A4BEB"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無足夠候選國民法官可受抽選為國民法官或備位國民法官時，法院不得逕行抽選部分國民法官或備位國民法官，應重新踐行選任程序。</w:t>
      </w:r>
    </w:p>
    <w:p w14:paraId="675EAD6D" w14:textId="77777777" w:rsidR="003B6E03" w:rsidRDefault="000D4C99" w:rsidP="00674FCC">
      <w:pPr>
        <w:pStyle w:val="2"/>
        <w:jc w:val="both"/>
      </w:pPr>
      <w:bookmarkStart w:id="38" w:name="a32"/>
      <w:bookmarkEnd w:id="38"/>
      <w:r>
        <w:t>第</w:t>
      </w:r>
      <w:r>
        <w:t>32</w:t>
      </w:r>
      <w:r w:rsidR="003B6E03">
        <w:t>條</w:t>
      </w:r>
    </w:p>
    <w:p w14:paraId="7AC4EC5B" w14:textId="2E6FD2C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關於選任程序之裁定，不得抗告。</w:t>
      </w:r>
    </w:p>
    <w:p w14:paraId="6C6CC8F6" w14:textId="77777777" w:rsidR="003B6E03" w:rsidRDefault="000D4C99" w:rsidP="00674FCC">
      <w:pPr>
        <w:pStyle w:val="2"/>
        <w:jc w:val="both"/>
      </w:pPr>
      <w:bookmarkStart w:id="39" w:name="a33"/>
      <w:bookmarkEnd w:id="39"/>
      <w:r>
        <w:t>第</w:t>
      </w:r>
      <w:r>
        <w:t>33</w:t>
      </w:r>
      <w:r w:rsidR="003B6E03">
        <w:t>條</w:t>
      </w:r>
    </w:p>
    <w:p w14:paraId="3F23694D" w14:textId="088D305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地方法院為調查</w:t>
      </w:r>
      <w:r w:rsidR="004F1EF1">
        <w:t>第</w:t>
      </w:r>
      <w:hyperlink w:anchor="a12" w:history="1">
        <w:r w:rsidR="004F1EF1" w:rsidRPr="00CD05AD">
          <w:rPr>
            <w:rStyle w:val="a3"/>
            <w:rFonts w:ascii="Times New Roman" w:hAnsi="Times New Roman"/>
          </w:rPr>
          <w:t>十二</w:t>
        </w:r>
      </w:hyperlink>
      <w:r w:rsidR="004F1EF1">
        <w:t>條</w:t>
      </w:r>
      <w:r w:rsidR="000D4C99">
        <w:t>第一項、第</w:t>
      </w:r>
      <w:hyperlink w:anchor="a13" w:history="1">
        <w:r w:rsidR="000D4C99" w:rsidRPr="004F1EF1">
          <w:rPr>
            <w:rStyle w:val="a3"/>
            <w:rFonts w:ascii="Times New Roman" w:hAnsi="Times New Roman"/>
          </w:rPr>
          <w:t>十三</w:t>
        </w:r>
      </w:hyperlink>
      <w:r w:rsidR="000D4C99">
        <w:t>條至第十五條事項，得利用相關之個人資料資料庫進行自動化檢核，管理及維護之機關不得拒絕，並應提供批次化查詢介面及使用權限。</w:t>
      </w:r>
    </w:p>
    <w:p w14:paraId="0BC311CE" w14:textId="77777777" w:rsidR="003B6E03" w:rsidRDefault="000D4C99" w:rsidP="00674FCC">
      <w:pPr>
        <w:pStyle w:val="2"/>
        <w:jc w:val="both"/>
      </w:pPr>
      <w:bookmarkStart w:id="40" w:name="a34"/>
      <w:bookmarkEnd w:id="40"/>
      <w:r>
        <w:t>第</w:t>
      </w:r>
      <w:r>
        <w:t>34</w:t>
      </w:r>
      <w:r w:rsidR="003B6E03">
        <w:t>條</w:t>
      </w:r>
    </w:p>
    <w:p w14:paraId="2F4BFA3B" w14:textId="49C5316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關於踐行選任程序必要事項之</w:t>
      </w:r>
      <w:hyperlink r:id="rId24" w:history="1">
        <w:r w:rsidR="000D4C99" w:rsidRPr="00BD7FF8">
          <w:rPr>
            <w:rStyle w:val="a3"/>
            <w:rFonts w:ascii="Times New Roman" w:hAnsi="Times New Roman"/>
          </w:rPr>
          <w:t>辦法</w:t>
        </w:r>
      </w:hyperlink>
      <w:r w:rsidR="000D4C99">
        <w:t>，由司法院定之</w:t>
      </w:r>
      <w:r w:rsidR="003B6E03">
        <w:t>。</w:t>
      </w:r>
    </w:p>
    <w:p w14:paraId="44FA2BB4" w14:textId="5D1353C7" w:rsidR="00A47BE3" w:rsidRDefault="003B6E03" w:rsidP="00674FCC">
      <w:pPr>
        <w:ind w:left="142"/>
        <w:jc w:val="both"/>
      </w:pPr>
      <w: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6F1559A0" w14:textId="77777777" w:rsidR="000D4C99" w:rsidRDefault="000D4C99" w:rsidP="00674FCC">
      <w:pPr>
        <w:pStyle w:val="1"/>
        <w:jc w:val="both"/>
      </w:pPr>
      <w:bookmarkStart w:id="41" w:name="_第三章__國民法官及備位國民法官_3"/>
      <w:bookmarkEnd w:id="41"/>
      <w:r>
        <w:t>第三章　　國民法官及備位國民法官　　第四節　　國民法官及備位國民法官之解任</w:t>
      </w:r>
    </w:p>
    <w:p w14:paraId="1ACCFEDA" w14:textId="77777777" w:rsidR="003B6E03" w:rsidRDefault="000D4C99" w:rsidP="00674FCC">
      <w:pPr>
        <w:pStyle w:val="2"/>
        <w:jc w:val="both"/>
      </w:pPr>
      <w:bookmarkStart w:id="42" w:name="a35"/>
      <w:bookmarkEnd w:id="42"/>
      <w:r>
        <w:t>第</w:t>
      </w:r>
      <w:r>
        <w:t>35</w:t>
      </w:r>
      <w:r w:rsidR="003B6E03">
        <w:t>條</w:t>
      </w:r>
    </w:p>
    <w:p w14:paraId="563FB383" w14:textId="37C2FD0D"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國民法官、備位國民法官有下列情形之一者，法院應依職權或當事人、辯護人、輔佐人之書面聲請，以裁定解任之：</w:t>
      </w:r>
    </w:p>
    <w:p w14:paraId="0F4CDADC" w14:textId="77777777" w:rsidR="003B6E03" w:rsidRDefault="000D4C99" w:rsidP="00674FCC">
      <w:pPr>
        <w:ind w:left="142"/>
        <w:jc w:val="both"/>
      </w:pPr>
      <w:r>
        <w:t xml:space="preserve">　　一、不具</w:t>
      </w:r>
      <w:r w:rsidR="004F1EF1">
        <w:t>第</w:t>
      </w:r>
      <w:hyperlink w:anchor="a12" w:history="1">
        <w:r w:rsidR="004F1EF1" w:rsidRPr="00CD05AD">
          <w:rPr>
            <w:rStyle w:val="a3"/>
            <w:rFonts w:ascii="Times New Roman" w:hAnsi="Times New Roman"/>
          </w:rPr>
          <w:t>十二</w:t>
        </w:r>
      </w:hyperlink>
      <w:r w:rsidR="004F1EF1">
        <w:t>條</w:t>
      </w:r>
      <w:r>
        <w:t>第一項所定資格，或有</w:t>
      </w:r>
      <w:r w:rsidR="004F1EF1" w:rsidRPr="00A47BE3">
        <w:rPr>
          <w:color w:val="17365D"/>
        </w:rPr>
        <w:t>第</w:t>
      </w:r>
      <w:hyperlink w:anchor="a13" w:history="1">
        <w:r w:rsidR="004F1EF1" w:rsidRPr="00CD05AD">
          <w:rPr>
            <w:rStyle w:val="a3"/>
            <w:rFonts w:ascii="Times New Roman" w:hAnsi="Times New Roman"/>
          </w:rPr>
          <w:t>十三</w:t>
        </w:r>
      </w:hyperlink>
      <w:r w:rsidR="004F1EF1" w:rsidRPr="00A47BE3">
        <w:rPr>
          <w:color w:val="17365D"/>
        </w:rPr>
        <w:t>條</w:t>
      </w:r>
      <w:r>
        <w:t>至第十五條所定情形</w:t>
      </w:r>
      <w:r w:rsidR="003B6E03">
        <w:t>。</w:t>
      </w:r>
    </w:p>
    <w:p w14:paraId="0EADB114" w14:textId="17D7CE08" w:rsidR="003B6E03" w:rsidRDefault="003B6E03" w:rsidP="00674FCC">
      <w:pPr>
        <w:ind w:left="142"/>
        <w:jc w:val="both"/>
      </w:pPr>
      <w:r>
        <w:t xml:space="preserve">　　二、</w:t>
      </w:r>
      <w:r w:rsidR="000D4C99">
        <w:t>未依本法規定宣誓</w:t>
      </w:r>
      <w:r>
        <w:t>。</w:t>
      </w:r>
    </w:p>
    <w:p w14:paraId="2BC3BF91" w14:textId="7DEE0A93" w:rsidR="003B6E03" w:rsidRDefault="003B6E03" w:rsidP="00674FCC">
      <w:pPr>
        <w:ind w:left="142"/>
        <w:jc w:val="both"/>
      </w:pPr>
      <w:r>
        <w:t xml:space="preserve">　　三、</w:t>
      </w:r>
      <w:r w:rsidR="000D4C99">
        <w:t>於選任程序受詢問時為虛偽之陳述，足認其繼續執行職務已不適當</w:t>
      </w:r>
      <w:r>
        <w:t>。</w:t>
      </w:r>
    </w:p>
    <w:p w14:paraId="241D84F6" w14:textId="5B8E1150" w:rsidR="003B6E03" w:rsidRDefault="003B6E03" w:rsidP="00674FCC">
      <w:pPr>
        <w:ind w:left="142"/>
        <w:jc w:val="both"/>
      </w:pPr>
      <w:r>
        <w:t xml:space="preserve">　　四、</w:t>
      </w:r>
      <w:r w:rsidR="000D4C99">
        <w:t>未依本法規定全程參與審判期日之訴訟程序、參與終局評議，足認其繼續執行職務已不適當</w:t>
      </w:r>
      <w:r>
        <w:t>。</w:t>
      </w:r>
    </w:p>
    <w:p w14:paraId="43BF4479" w14:textId="3F6AC53C" w:rsidR="003B6E03" w:rsidRDefault="003B6E03" w:rsidP="00674FCC">
      <w:pPr>
        <w:ind w:left="142"/>
        <w:jc w:val="both"/>
      </w:pPr>
      <w:r>
        <w:t xml:space="preserve">　　五、</w:t>
      </w:r>
      <w:r w:rsidR="000D4C99">
        <w:t>不聽從審判長之指揮，致妨害審判期日之訴訟程序或終局評議之順暢進行，足認其繼續執行職務已不適當</w:t>
      </w:r>
      <w:r>
        <w:t>。</w:t>
      </w:r>
    </w:p>
    <w:p w14:paraId="72F76EE3" w14:textId="0CF038FE" w:rsidR="003B6E03" w:rsidRDefault="003B6E03" w:rsidP="00674FCC">
      <w:pPr>
        <w:ind w:left="142"/>
        <w:jc w:val="both"/>
      </w:pPr>
      <w:r>
        <w:t xml:space="preserve">　　六、</w:t>
      </w:r>
      <w:r w:rsidR="000D4C99">
        <w:t>為有害司法公正信譽之行為或洩漏應予保密之事項，足認其繼續執行職務已不適當</w:t>
      </w:r>
      <w:r>
        <w:t>。</w:t>
      </w:r>
    </w:p>
    <w:p w14:paraId="292D790A" w14:textId="73D0322A" w:rsidR="003B6E03" w:rsidRDefault="003B6E03" w:rsidP="00674FCC">
      <w:pPr>
        <w:ind w:left="142"/>
        <w:jc w:val="both"/>
      </w:pPr>
      <w:r>
        <w:t xml:space="preserve">　　七、</w:t>
      </w:r>
      <w:r w:rsidR="000D4C99">
        <w:t>其他可歸責於國民法官、備位國民法官之事由，足認其繼續執行職務不適當</w:t>
      </w:r>
      <w:r>
        <w:t>。</w:t>
      </w:r>
    </w:p>
    <w:p w14:paraId="600A9F7F" w14:textId="1544BB22" w:rsidR="003B6E03" w:rsidRDefault="003B6E03" w:rsidP="00674FCC">
      <w:pPr>
        <w:ind w:left="142"/>
        <w:jc w:val="both"/>
      </w:pPr>
      <w:r>
        <w:t xml:space="preserve">　　八、</w:t>
      </w:r>
      <w:r w:rsidR="000D4C99">
        <w:t>因不可抗力事由致不能或不宜執行職務</w:t>
      </w:r>
      <w:r>
        <w:t>。</w:t>
      </w:r>
    </w:p>
    <w:p w14:paraId="0EE8CE00" w14:textId="1D95D610"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法院為前項裁定前，應聽取當事人、辯護人及輔佐人之意見，並予該國民法官或備位國民法官陳述意見之機會；其程序，不公開之</w:t>
      </w:r>
      <w:r w:rsidR="003B6E03">
        <w:t>。</w:t>
      </w:r>
    </w:p>
    <w:p w14:paraId="104DD3F1" w14:textId="31713D9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第一項之裁定，當事人、辯護人或輔佐人得聲請撤銷並更為裁定。</w:t>
      </w:r>
    </w:p>
    <w:p w14:paraId="734CFF64" w14:textId="415CA95F" w:rsidR="003B6E03" w:rsidRDefault="005560B7" w:rsidP="00674FCC">
      <w:pPr>
        <w:ind w:left="142"/>
        <w:jc w:val="both"/>
      </w:pPr>
      <w:r w:rsidRPr="005560B7">
        <w:rPr>
          <w:rFonts w:asciiTheme="minorHAnsi" w:hAnsiTheme="minorHAnsi"/>
          <w:color w:val="404040" w:themeColor="text1" w:themeTint="BF"/>
          <w:sz w:val="18"/>
        </w:rPr>
        <w:lastRenderedPageBreak/>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A47BE3">
        <w:rPr>
          <w:color w:val="17365D"/>
        </w:rPr>
        <w:t>前項之聲請，由同法院之其他合議庭裁定，於程序終結前，應停止訴訟程序</w:t>
      </w:r>
      <w:r w:rsidR="003B6E03">
        <w:t>。</w:t>
      </w:r>
    </w:p>
    <w:p w14:paraId="38044600" w14:textId="4D16A23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3B6E03">
        <w:t>前項裁定，應即時為之；認為聲請有理由者，應撤銷原裁定並自為裁定。</w:t>
      </w:r>
    </w:p>
    <w:p w14:paraId="51FD2AA6" w14:textId="2497BEF1"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6</w:t>
      </w:r>
      <w:r w:rsidR="003B6E03" w:rsidRPr="003B6E03">
        <w:rPr>
          <w:rFonts w:asciiTheme="minorHAnsi" w:hAnsiTheme="minorHAnsi"/>
          <w:color w:val="404040" w:themeColor="text1" w:themeTint="BF"/>
          <w:sz w:val="18"/>
        </w:rPr>
        <w:t>﹞</w:t>
      </w:r>
      <w:r w:rsidR="000D4C99" w:rsidRPr="00A47BE3">
        <w:rPr>
          <w:color w:val="17365D"/>
        </w:rPr>
        <w:t>第四項裁定，不得抗告。</w:t>
      </w:r>
    </w:p>
    <w:p w14:paraId="6676CBAB" w14:textId="77777777" w:rsidR="003B6E03" w:rsidRDefault="000D4C99" w:rsidP="00674FCC">
      <w:pPr>
        <w:pStyle w:val="2"/>
        <w:jc w:val="both"/>
      </w:pPr>
      <w:bookmarkStart w:id="43" w:name="a36"/>
      <w:bookmarkEnd w:id="43"/>
      <w:r>
        <w:t>第</w:t>
      </w:r>
      <w:r>
        <w:t>36</w:t>
      </w:r>
      <w:r w:rsidR="003B6E03">
        <w:t>條</w:t>
      </w:r>
    </w:p>
    <w:p w14:paraId="28DDFA87" w14:textId="414AE16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國民法官、備位國民法官於受選任後有第</w:t>
      </w:r>
      <w:hyperlink w:anchor="a16" w:history="1">
        <w:r w:rsidR="000D4C99" w:rsidRPr="004A30C5">
          <w:rPr>
            <w:rStyle w:val="a3"/>
            <w:rFonts w:ascii="Times New Roman" w:hAnsi="Times New Roman"/>
          </w:rPr>
          <w:t>十六</w:t>
        </w:r>
      </w:hyperlink>
      <w:r w:rsidR="000D4C99">
        <w:t>條第一項第四款至第八款情形之一，致繼續執行職務顯有困難者，得以書面向法院聲請辭去其職務</w:t>
      </w:r>
      <w:r w:rsidR="003B6E03">
        <w:t>。</w:t>
      </w:r>
    </w:p>
    <w:p w14:paraId="59602113" w14:textId="2A674BC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A47BE3">
        <w:rPr>
          <w:color w:val="17365D"/>
        </w:rPr>
        <w:t>法院認前項聲請為無理由者，應裁定駁回之；認為有理由者，應裁定解任之</w:t>
      </w:r>
      <w:r w:rsidR="003B6E03">
        <w:t>。</w:t>
      </w:r>
    </w:p>
    <w:p w14:paraId="31896DD4" w14:textId="6020A16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前項裁定，不得抗告。</w:t>
      </w:r>
    </w:p>
    <w:p w14:paraId="202845D1" w14:textId="77777777" w:rsidR="003B6E03" w:rsidRDefault="000D4C99" w:rsidP="00674FCC">
      <w:pPr>
        <w:pStyle w:val="2"/>
        <w:jc w:val="both"/>
      </w:pPr>
      <w:bookmarkStart w:id="44" w:name="a37"/>
      <w:bookmarkEnd w:id="44"/>
      <w:r>
        <w:t>第</w:t>
      </w:r>
      <w:r>
        <w:t>37</w:t>
      </w:r>
      <w:r w:rsidR="003B6E03">
        <w:t>條</w:t>
      </w:r>
    </w:p>
    <w:p w14:paraId="0593499C" w14:textId="6C5A6A0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國民法官、備位國民法官因前二條之規定解任者，國民法官所生缺額，由備位國民法官依序遞補之；備位國民法官所生缺額，由序號在後之備位國民法官遞補之</w:t>
      </w:r>
      <w:r w:rsidR="003B6E03">
        <w:t>。</w:t>
      </w:r>
    </w:p>
    <w:p w14:paraId="43540AFA" w14:textId="091B524F" w:rsidR="000D4C99" w:rsidRPr="00A47BE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A47BE3">
        <w:rPr>
          <w:color w:val="17365D"/>
        </w:rPr>
        <w:t>無備位國民法官可遞補國民法官缺額時，法院應重新踐行選任程序補足之。</w:t>
      </w:r>
    </w:p>
    <w:p w14:paraId="0A40C97D" w14:textId="77777777" w:rsidR="003B6E03" w:rsidRDefault="000D4C99" w:rsidP="00674FCC">
      <w:pPr>
        <w:pStyle w:val="2"/>
        <w:jc w:val="both"/>
      </w:pPr>
      <w:bookmarkStart w:id="45" w:name="a38"/>
      <w:bookmarkEnd w:id="45"/>
      <w:r>
        <w:t>第</w:t>
      </w:r>
      <w:r>
        <w:t>38</w:t>
      </w:r>
      <w:r w:rsidR="003B6E03">
        <w:t>條</w:t>
      </w:r>
    </w:p>
    <w:p w14:paraId="402AE7EA" w14:textId="156ECB6E"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有下列情形之一者，國民法官、備位國民法官之職務即告終了：</w:t>
      </w:r>
    </w:p>
    <w:p w14:paraId="1DDAF49B" w14:textId="77777777" w:rsidR="003B6E03" w:rsidRDefault="000D4C99" w:rsidP="00674FCC">
      <w:pPr>
        <w:ind w:left="142"/>
        <w:jc w:val="both"/>
      </w:pPr>
      <w:r>
        <w:t xml:space="preserve">　　一、宣示判決</w:t>
      </w:r>
      <w:r w:rsidR="003B6E03">
        <w:t>。</w:t>
      </w:r>
    </w:p>
    <w:p w14:paraId="48B3A1B3" w14:textId="696712CE" w:rsidR="003B6E03" w:rsidRDefault="003B6E03" w:rsidP="00674FCC">
      <w:pPr>
        <w:ind w:left="142"/>
        <w:jc w:val="both"/>
      </w:pPr>
      <w:r>
        <w:t xml:space="preserve">　　二、</w:t>
      </w:r>
      <w:r w:rsidR="000D4C99">
        <w:t>經依</w:t>
      </w:r>
      <w:hyperlink w:anchor="a6" w:history="1">
        <w:r w:rsidR="000D4C99" w:rsidRPr="004A30C5">
          <w:rPr>
            <w:rStyle w:val="a3"/>
            <w:rFonts w:ascii="Times New Roman" w:hAnsi="Times New Roman"/>
          </w:rPr>
          <w:t>第六條</w:t>
        </w:r>
      </w:hyperlink>
      <w:r w:rsidR="000D4C99">
        <w:t>第一項之規定裁定不行國民參與審判確定</w:t>
      </w:r>
      <w:r>
        <w:t>。</w:t>
      </w:r>
    </w:p>
    <w:p w14:paraId="51E48947" w14:textId="18D4BFC1" w:rsidR="00A47BE3" w:rsidRDefault="003B6E03" w:rsidP="00674FCC">
      <w:pPr>
        <w:ind w:left="142"/>
        <w:jc w:val="both"/>
      </w:pPr>
      <w: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7F96D6FC" w14:textId="77777777" w:rsidR="000D4C99" w:rsidRDefault="000D4C99" w:rsidP="00674FCC">
      <w:pPr>
        <w:pStyle w:val="1"/>
        <w:jc w:val="both"/>
      </w:pPr>
      <w:bookmarkStart w:id="46" w:name="_第三章__國民法官及備位國民法官_4"/>
      <w:bookmarkEnd w:id="46"/>
      <w:r>
        <w:t>第三章　　國民法官及備位國民法官　　第五節　　國民法官、備位國民法官及候選國民法官之保護</w:t>
      </w:r>
    </w:p>
    <w:p w14:paraId="023A41E1" w14:textId="77777777" w:rsidR="003B6E03" w:rsidRDefault="000D4C99" w:rsidP="00674FCC">
      <w:pPr>
        <w:pStyle w:val="2"/>
        <w:jc w:val="both"/>
      </w:pPr>
      <w:bookmarkStart w:id="47" w:name="a39"/>
      <w:bookmarkEnd w:id="47"/>
      <w:r>
        <w:t>第</w:t>
      </w:r>
      <w:r>
        <w:t>39</w:t>
      </w:r>
      <w:r w:rsidR="003B6E03">
        <w:t>條</w:t>
      </w:r>
    </w:p>
    <w:p w14:paraId="3820DE1F" w14:textId="610C33A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於執行職務期間，或候選國民法官受通知到庭期間，其所屬機關（構）、學校、團體、公司、廠場應給予公假；並不得以其現任或曾任國民法官、備位國民法官或候選國民法官為由，予以任何職務上不利之處分。</w:t>
      </w:r>
    </w:p>
    <w:p w14:paraId="6363EAC8" w14:textId="22CD132E" w:rsidR="000D4C99" w:rsidRDefault="000D4C99" w:rsidP="00674FCC">
      <w:pPr>
        <w:pStyle w:val="2"/>
        <w:jc w:val="both"/>
      </w:pPr>
      <w:bookmarkStart w:id="48" w:name="a40"/>
      <w:bookmarkEnd w:id="48"/>
      <w:r>
        <w:t>第</w:t>
      </w:r>
      <w:r>
        <w:t>40</w:t>
      </w:r>
      <w:r>
        <w:t>條</w:t>
      </w:r>
      <w:r w:rsidR="00C2413D" w:rsidRPr="00C2413D">
        <w:rPr>
          <w:rFonts w:hint="eastAsia"/>
          <w:b w:val="0"/>
          <w:color w:val="5F5F5F"/>
          <w:sz w:val="18"/>
        </w:rPr>
        <w:t>【相關罰則】</w:t>
      </w:r>
      <w:r w:rsidR="00C2413D" w:rsidRPr="00C2413D">
        <w:rPr>
          <w:rFonts w:hint="eastAsia"/>
          <w:b w:val="0"/>
          <w:color w:val="5F5F5F"/>
          <w:sz w:val="18"/>
          <w:szCs w:val="20"/>
        </w:rPr>
        <w:t>第一項</w:t>
      </w:r>
      <w:r w:rsidR="00C2413D" w:rsidRPr="00C2413D">
        <w:rPr>
          <w:rFonts w:hint="eastAsia"/>
          <w:b w:val="0"/>
          <w:color w:val="5F5F5F"/>
          <w:sz w:val="18"/>
        </w:rPr>
        <w:t>～</w:t>
      </w:r>
      <w:hyperlink w:anchor="a98" w:history="1">
        <w:r w:rsidR="00C2413D">
          <w:rPr>
            <w:rStyle w:val="a3"/>
            <w:rFonts w:ascii="Arial Unicode MS" w:hAnsi="Arial Unicode MS"/>
            <w:b w:val="0"/>
            <w:color w:val="5F5F5F"/>
            <w:sz w:val="18"/>
          </w:rPr>
          <w:t>§98</w:t>
        </w:r>
      </w:hyperlink>
    </w:p>
    <w:p w14:paraId="6D7BDB76" w14:textId="536CF0CD" w:rsidR="003B6E03" w:rsidRDefault="005560B7" w:rsidP="00674FCC">
      <w:pPr>
        <w:ind w:left="142"/>
        <w:jc w:val="both"/>
      </w:pPr>
      <w:r w:rsidRPr="005560B7">
        <w:rPr>
          <w:rFonts w:asciiTheme="minorHAnsi" w:hAnsiTheme="minorHAnsi"/>
          <w:color w:val="404040" w:themeColor="text1" w:themeTint="BF"/>
          <w:sz w:val="18"/>
        </w:rPr>
        <w:t>﹝</w:t>
      </w:r>
      <w:r w:rsidR="00247DE0" w:rsidRPr="003B6E03">
        <w:rPr>
          <w:rFonts w:asciiTheme="minorHAnsi" w:hAnsiTheme="minorHAnsi"/>
          <w:color w:val="404040" w:themeColor="text1" w:themeTint="BF"/>
          <w:sz w:val="18"/>
        </w:rPr>
        <w:t>1</w:t>
      </w:r>
      <w:r w:rsidR="00247DE0" w:rsidRPr="003B6E03">
        <w:rPr>
          <w:rFonts w:asciiTheme="minorHAnsi" w:hAnsiTheme="minorHAnsi"/>
          <w:color w:val="404040" w:themeColor="text1" w:themeTint="BF"/>
          <w:sz w:val="18"/>
        </w:rPr>
        <w:t>﹞</w:t>
      </w:r>
      <w:r w:rsidR="000D4C99">
        <w:t>除有特別規定者外，任何人不得揭露</w:t>
      </w:r>
      <w:r w:rsidR="00B323BA">
        <w:t>個人資料保護法</w:t>
      </w:r>
      <w:hyperlink r:id="rId25" w:anchor="a2" w:history="1">
        <w:r w:rsidR="00B323BA" w:rsidRPr="003B65B6">
          <w:rPr>
            <w:rStyle w:val="a3"/>
            <w:rFonts w:ascii="Times New Roman" w:hAnsi="Times New Roman"/>
          </w:rPr>
          <w:t>第二條</w:t>
        </w:r>
      </w:hyperlink>
      <w:r w:rsidR="000D4C99">
        <w:t>第一款所定屬於國民法官、備位國民法官或候選國民法官之個人資料</w:t>
      </w:r>
      <w:r w:rsidR="003B6E03">
        <w:t>。</w:t>
      </w:r>
    </w:p>
    <w:p w14:paraId="013C4526" w14:textId="5C83E323" w:rsidR="000D4C99"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17710E">
        <w:rPr>
          <w:color w:val="17365D"/>
        </w:rPr>
        <w:t>國民法官、備位國民法官或候選國民法官個人資料保護之方式、期間、範圍、處理及利用等事項之</w:t>
      </w:r>
      <w:hyperlink r:id="rId26" w:history="1">
        <w:r w:rsidR="000D4C99" w:rsidRPr="00A73C05">
          <w:rPr>
            <w:rStyle w:val="a3"/>
            <w:rFonts w:ascii="Times New Roman" w:hAnsi="Times New Roman"/>
          </w:rPr>
          <w:t>辦法</w:t>
        </w:r>
      </w:hyperlink>
      <w:r w:rsidR="000D4C99" w:rsidRPr="0017710E">
        <w:rPr>
          <w:color w:val="17365D"/>
        </w:rPr>
        <w:t>，由司法院會同行政院定之。</w:t>
      </w:r>
    </w:p>
    <w:p w14:paraId="3AD1FDFF" w14:textId="5A2DB00A" w:rsidR="000D4C99" w:rsidRDefault="000D4C99" w:rsidP="00674FCC">
      <w:pPr>
        <w:pStyle w:val="2"/>
        <w:jc w:val="both"/>
      </w:pPr>
      <w:bookmarkStart w:id="49" w:name="a41"/>
      <w:bookmarkEnd w:id="49"/>
      <w:r>
        <w:t>第</w:t>
      </w:r>
      <w:r>
        <w:t>41</w:t>
      </w:r>
      <w:r>
        <w:t>條</w:t>
      </w:r>
      <w:r w:rsidR="00C2413D" w:rsidRPr="00C2413D">
        <w:rPr>
          <w:rFonts w:hint="eastAsia"/>
          <w:b w:val="0"/>
          <w:color w:val="5F5F5F"/>
          <w:sz w:val="18"/>
        </w:rPr>
        <w:t>【相關罰則】</w:t>
      </w:r>
      <w:r w:rsidR="00C2413D" w:rsidRPr="00C2413D">
        <w:rPr>
          <w:rFonts w:hint="eastAsia"/>
          <w:b w:val="0"/>
          <w:color w:val="5F5F5F"/>
          <w:sz w:val="18"/>
          <w:szCs w:val="20"/>
        </w:rPr>
        <w:t>第二項</w:t>
      </w:r>
      <w:r w:rsidR="00C2413D" w:rsidRPr="00C2413D">
        <w:rPr>
          <w:rFonts w:hint="eastAsia"/>
          <w:b w:val="0"/>
          <w:color w:val="5F5F5F"/>
          <w:sz w:val="18"/>
        </w:rPr>
        <w:t>～</w:t>
      </w:r>
      <w:hyperlink w:anchor="a98" w:history="1">
        <w:r w:rsidR="00C2413D">
          <w:rPr>
            <w:rStyle w:val="a3"/>
            <w:rFonts w:ascii="Arial Unicode MS" w:hAnsi="Arial Unicode MS"/>
            <w:b w:val="0"/>
            <w:color w:val="5F5F5F"/>
            <w:sz w:val="18"/>
          </w:rPr>
          <w:t>§98</w:t>
        </w:r>
      </w:hyperlink>
    </w:p>
    <w:p w14:paraId="69741C19" w14:textId="5D864199" w:rsidR="003B6E03" w:rsidRDefault="005560B7" w:rsidP="00674FCC">
      <w:pPr>
        <w:ind w:left="142"/>
        <w:jc w:val="both"/>
      </w:pPr>
      <w:r w:rsidRPr="005560B7">
        <w:rPr>
          <w:rFonts w:asciiTheme="minorHAnsi" w:hAnsiTheme="minorHAnsi"/>
          <w:color w:val="404040" w:themeColor="text1" w:themeTint="BF"/>
          <w:sz w:val="18"/>
        </w:rPr>
        <w:t>﹝</w:t>
      </w:r>
      <w:r w:rsidR="00247DE0" w:rsidRPr="003B6E03">
        <w:rPr>
          <w:rFonts w:asciiTheme="minorHAnsi" w:hAnsiTheme="minorHAnsi"/>
          <w:color w:val="404040" w:themeColor="text1" w:themeTint="BF"/>
          <w:sz w:val="18"/>
        </w:rPr>
        <w:t>1</w:t>
      </w:r>
      <w:r w:rsidR="00247DE0" w:rsidRPr="003B6E03">
        <w:rPr>
          <w:rFonts w:asciiTheme="minorHAnsi" w:hAnsiTheme="minorHAnsi"/>
          <w:color w:val="404040" w:themeColor="text1" w:themeTint="BF"/>
          <w:sz w:val="18"/>
        </w:rPr>
        <w:t>﹞</w:t>
      </w:r>
      <w:r w:rsidR="000D4C99">
        <w:t>任何人不得意圖影響審判，而以任何方式與國民法官、備位國民法官或候選國民法官接觸、聯絡</w:t>
      </w:r>
      <w:r w:rsidR="003B6E03">
        <w:t>。</w:t>
      </w:r>
    </w:p>
    <w:p w14:paraId="1B4179C6" w14:textId="515CFCCB" w:rsidR="000D4C99"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17710E">
        <w:rPr>
          <w:color w:val="17365D"/>
        </w:rPr>
        <w:t>任何人不得向現任或曾任國民法官、備位國民法官或候選國民法官之人，刺探依法應予保密之事項。</w:t>
      </w:r>
    </w:p>
    <w:p w14:paraId="18F959AE" w14:textId="77777777" w:rsidR="003B6E03" w:rsidRDefault="000D4C99" w:rsidP="00674FCC">
      <w:pPr>
        <w:pStyle w:val="2"/>
        <w:jc w:val="both"/>
      </w:pPr>
      <w:bookmarkStart w:id="50" w:name="a42"/>
      <w:bookmarkEnd w:id="50"/>
      <w:r>
        <w:t>第</w:t>
      </w:r>
      <w:r>
        <w:t>42</w:t>
      </w:r>
      <w:r w:rsidR="003B6E03">
        <w:t>條</w:t>
      </w:r>
    </w:p>
    <w:p w14:paraId="2A270FF8" w14:textId="75438C5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法院得依職權或當事人、辯護人、輔佐人、國民法官或備位國民法官之聲請，對國民法官、備位國民法官，予以必要之保護措施</w:t>
      </w:r>
      <w:r w:rsidR="003B6E03">
        <w:t>。</w:t>
      </w:r>
    </w:p>
    <w:p w14:paraId="00732042" w14:textId="38424885" w:rsidR="0017710E" w:rsidRDefault="003B6E03" w:rsidP="00674FCC">
      <w:pPr>
        <w:ind w:left="142"/>
        <w:jc w:val="both"/>
      </w:pPr>
      <w:r>
        <w:t xml:space="preserve">　　　　</w:t>
      </w:r>
      <w:r w:rsidR="00CC00AD" w:rsidRPr="00A22F73">
        <w:rPr>
          <w:rFonts w:ascii="Arial Unicode MS" w:hAnsi="Arial Unicode MS"/>
          <w:color w:val="808000"/>
          <w:sz w:val="18"/>
        </w:rPr>
        <w:t xml:space="preserve">　　　　　　　　　　　　　　　　　　　　　　　　　　　　　　　　　　　　　　　　　　　　</w:t>
      </w:r>
      <w:hyperlink w:anchor="a章節索引" w:history="1">
        <w:r w:rsidR="00CC00AD" w:rsidRPr="00A22F73">
          <w:rPr>
            <w:rStyle w:val="a3"/>
            <w:rFonts w:ascii="Arial Unicode MS" w:hAnsi="Arial Unicode MS"/>
            <w:sz w:val="18"/>
          </w:rPr>
          <w:t>回索引</w:t>
        </w:r>
      </w:hyperlink>
      <w:r w:rsidR="00CC00AD" w:rsidRPr="00A22F73">
        <w:rPr>
          <w:rFonts w:ascii="Arial Unicode MS" w:hAnsi="Arial Unicode MS" w:hint="eastAsia"/>
          <w:color w:val="808000"/>
          <w:sz w:val="18"/>
        </w:rPr>
        <w:t>〉〉</w:t>
      </w:r>
    </w:p>
    <w:p w14:paraId="3295BC47" w14:textId="211C36A5" w:rsidR="000D4C99" w:rsidRDefault="000D4C99" w:rsidP="00674FCC">
      <w:pPr>
        <w:pStyle w:val="1"/>
        <w:jc w:val="both"/>
      </w:pPr>
      <w:bookmarkStart w:id="51" w:name="_第四章__審理程序"/>
      <w:bookmarkEnd w:id="51"/>
      <w:r>
        <w:lastRenderedPageBreak/>
        <w:t>第四章　　審理程序　　第一節　　起</w:t>
      </w:r>
      <w:r w:rsidR="00B323BA">
        <w:t xml:space="preserve">　</w:t>
      </w:r>
      <w:r>
        <w:t>訴</w:t>
      </w:r>
    </w:p>
    <w:p w14:paraId="242FAE62" w14:textId="77777777" w:rsidR="003B6E03" w:rsidRDefault="000D4C99" w:rsidP="00674FCC">
      <w:pPr>
        <w:pStyle w:val="2"/>
        <w:jc w:val="both"/>
      </w:pPr>
      <w:bookmarkStart w:id="52" w:name="a43"/>
      <w:bookmarkEnd w:id="52"/>
      <w:r>
        <w:t>第</w:t>
      </w:r>
      <w:r>
        <w:t>43</w:t>
      </w:r>
      <w:r w:rsidR="003B6E03">
        <w:t>條</w:t>
      </w:r>
    </w:p>
    <w:p w14:paraId="51B67560" w14:textId="355C07F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行國民參與審判之案件，檢察官起訴時，應向管轄法院提出起訴書，並不得將卷宗及證物一併送交法院</w:t>
      </w:r>
      <w:r w:rsidR="003B6E03">
        <w:t>。</w:t>
      </w:r>
    </w:p>
    <w:p w14:paraId="10A1F7E1" w14:textId="56B5DA88" w:rsidR="003B6E03"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17710E">
        <w:rPr>
          <w:color w:val="17365D"/>
        </w:rPr>
        <w:t>起訴書應記載下列事項：</w:t>
      </w:r>
    </w:p>
    <w:p w14:paraId="30AF288A" w14:textId="77777777" w:rsidR="003B6E03" w:rsidRDefault="003B6E03" w:rsidP="00674FCC">
      <w:pPr>
        <w:ind w:left="142"/>
        <w:jc w:val="both"/>
        <w:rPr>
          <w:color w:val="17365D"/>
        </w:rPr>
      </w:pPr>
      <w:r w:rsidRPr="0017710E">
        <w:rPr>
          <w:color w:val="17365D"/>
        </w:rPr>
        <w:t xml:space="preserve">　　一、被告之姓名、性別、出生年月日、身分證明文件編號、住所或居所或其他足資辨別之特徵</w:t>
      </w:r>
      <w:r>
        <w:rPr>
          <w:color w:val="17365D"/>
        </w:rPr>
        <w:t>。</w:t>
      </w:r>
    </w:p>
    <w:p w14:paraId="4AB2F9A5" w14:textId="77777777" w:rsidR="003B6E03" w:rsidRDefault="003B6E03" w:rsidP="00674FCC">
      <w:pPr>
        <w:ind w:left="142"/>
        <w:jc w:val="both"/>
        <w:rPr>
          <w:color w:val="17365D"/>
        </w:rPr>
      </w:pPr>
      <w:r>
        <w:rPr>
          <w:color w:val="17365D"/>
        </w:rPr>
        <w:t xml:space="preserve">　　</w:t>
      </w:r>
      <w:r w:rsidRPr="0017710E">
        <w:rPr>
          <w:color w:val="17365D"/>
        </w:rPr>
        <w:t>二</w:t>
      </w:r>
      <w:r>
        <w:rPr>
          <w:color w:val="17365D"/>
        </w:rPr>
        <w:t>、</w:t>
      </w:r>
      <w:r w:rsidRPr="0017710E">
        <w:rPr>
          <w:color w:val="17365D"/>
        </w:rPr>
        <w:t>犯罪事實</w:t>
      </w:r>
      <w:r>
        <w:rPr>
          <w:color w:val="17365D"/>
        </w:rPr>
        <w:t>。</w:t>
      </w:r>
    </w:p>
    <w:p w14:paraId="79BC7909" w14:textId="4F1FFBAB" w:rsidR="003B6E03" w:rsidRDefault="003B6E03" w:rsidP="00674FCC">
      <w:pPr>
        <w:ind w:left="142"/>
        <w:jc w:val="both"/>
      </w:pPr>
      <w:r>
        <w:rPr>
          <w:color w:val="17365D"/>
        </w:rPr>
        <w:t xml:space="preserve">　　</w:t>
      </w:r>
      <w:r w:rsidRPr="0017710E">
        <w:rPr>
          <w:color w:val="17365D"/>
        </w:rPr>
        <w:t>三</w:t>
      </w:r>
      <w:r>
        <w:rPr>
          <w:color w:val="17365D"/>
        </w:rPr>
        <w:t>、</w:t>
      </w:r>
      <w:r w:rsidRPr="0017710E">
        <w:rPr>
          <w:color w:val="17365D"/>
        </w:rPr>
        <w:t>所犯法條</w:t>
      </w:r>
      <w:r>
        <w:t>。</w:t>
      </w:r>
    </w:p>
    <w:p w14:paraId="614EF16A" w14:textId="6556910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前項第二款之犯罪事實，以載明日、時、處所及方法特定之。</w:t>
      </w:r>
    </w:p>
    <w:p w14:paraId="6E5BA35E" w14:textId="0F49A88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17710E">
        <w:rPr>
          <w:color w:val="17365D"/>
        </w:rPr>
        <w:t>起訴書不得記載使法院就案件產生預斷之虞之內容</w:t>
      </w:r>
      <w:r w:rsidR="003B6E03">
        <w:t>。</w:t>
      </w:r>
    </w:p>
    <w:p w14:paraId="2C231854" w14:textId="2CC2588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0D4C99">
        <w:t>刑事訴訟法第</w:t>
      </w:r>
      <w:hyperlink r:id="rId27" w:anchor="a161" w:history="1">
        <w:r w:rsidR="000D4C99" w:rsidRPr="00382D27">
          <w:rPr>
            <w:rStyle w:val="a3"/>
            <w:rFonts w:ascii="Times New Roman" w:hAnsi="Times New Roman"/>
          </w:rPr>
          <w:t>一百六十一</w:t>
        </w:r>
      </w:hyperlink>
      <w:r w:rsidR="000D4C99">
        <w:t>條第二項至第四項之規定，於行國民參與審判之案件，不適用之</w:t>
      </w:r>
      <w:r w:rsidR="003B6E03">
        <w:t>。</w:t>
      </w:r>
    </w:p>
    <w:p w14:paraId="02A509A3" w14:textId="24E6F6D6" w:rsidR="0017710E" w:rsidRDefault="003B6E03" w:rsidP="00674FCC">
      <w:pPr>
        <w:ind w:left="142"/>
        <w:jc w:val="both"/>
      </w:pPr>
      <w:r>
        <w:t xml:space="preserve">　　　　</w:t>
      </w:r>
      <w:r w:rsidR="00032FAC" w:rsidRPr="00A22F73">
        <w:rPr>
          <w:rFonts w:ascii="Arial Unicode MS" w:hAnsi="Arial Unicode MS"/>
          <w:color w:val="808000"/>
          <w:sz w:val="18"/>
        </w:rPr>
        <w:t xml:space="preserve">　　　　　　　　　　　　　　　　　　　　　　　　　　　　　　　　　　　　　　　　　　　　</w:t>
      </w:r>
      <w:hyperlink w:anchor="a章節索引" w:history="1">
        <w:r w:rsidR="00032FAC" w:rsidRPr="00A22F73">
          <w:rPr>
            <w:rStyle w:val="a3"/>
            <w:rFonts w:ascii="Arial Unicode MS" w:hAnsi="Arial Unicode MS"/>
            <w:sz w:val="18"/>
          </w:rPr>
          <w:t>回索引</w:t>
        </w:r>
      </w:hyperlink>
      <w:r w:rsidR="00032FAC" w:rsidRPr="00A22F73">
        <w:rPr>
          <w:rFonts w:ascii="Arial Unicode MS" w:hAnsi="Arial Unicode MS" w:hint="eastAsia"/>
          <w:color w:val="808000"/>
          <w:sz w:val="18"/>
        </w:rPr>
        <w:t>〉〉</w:t>
      </w:r>
    </w:p>
    <w:p w14:paraId="13527CDF" w14:textId="52692AF6" w:rsidR="000D4C99" w:rsidRDefault="000D4C99" w:rsidP="00674FCC">
      <w:pPr>
        <w:pStyle w:val="1"/>
        <w:jc w:val="both"/>
      </w:pPr>
      <w:bookmarkStart w:id="53" w:name="_第四章__審理程序_1"/>
      <w:bookmarkEnd w:id="53"/>
      <w:r>
        <w:t xml:space="preserve">第四章　　審理程序　　第二節　</w:t>
      </w:r>
      <w:r w:rsidR="00B323BA">
        <w:t xml:space="preserve">　</w:t>
      </w:r>
      <w:r>
        <w:t>基本原則</w:t>
      </w:r>
    </w:p>
    <w:p w14:paraId="635BE21A" w14:textId="77777777" w:rsidR="003B6E03" w:rsidRDefault="000D4C99" w:rsidP="00674FCC">
      <w:pPr>
        <w:pStyle w:val="2"/>
        <w:jc w:val="both"/>
      </w:pPr>
      <w:bookmarkStart w:id="54" w:name="a44"/>
      <w:bookmarkEnd w:id="54"/>
      <w:r>
        <w:t>第</w:t>
      </w:r>
      <w:r>
        <w:t>44</w:t>
      </w:r>
      <w:r w:rsidR="003B6E03">
        <w:t>條</w:t>
      </w:r>
    </w:p>
    <w:p w14:paraId="7B940E41" w14:textId="44E5D04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於起訴後至第一次審判期日前，有關強制處分及證據保全之事項，由未參與本案審理之管轄法院法官處理之。但因管轄法院法官員額不足，致不能由未參與本案審理之法官處理時，不在此限</w:t>
      </w:r>
      <w:r w:rsidR="003B6E03">
        <w:t>。</w:t>
      </w:r>
    </w:p>
    <w:p w14:paraId="6B1C32A1" w14:textId="5E78DCD9" w:rsidR="000D4C99"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17710E">
        <w:rPr>
          <w:color w:val="17365D"/>
        </w:rPr>
        <w:t>前項但書情形，法官不得接受或命提出與該強制處分審查無關之陳述或證據。</w:t>
      </w:r>
    </w:p>
    <w:p w14:paraId="6BB91580" w14:textId="77777777" w:rsidR="003B6E03" w:rsidRDefault="000D4C99" w:rsidP="00674FCC">
      <w:pPr>
        <w:pStyle w:val="2"/>
        <w:jc w:val="both"/>
      </w:pPr>
      <w:bookmarkStart w:id="55" w:name="a45"/>
      <w:bookmarkEnd w:id="55"/>
      <w:r>
        <w:t>第</w:t>
      </w:r>
      <w:r>
        <w:t>45</w:t>
      </w:r>
      <w:r w:rsidR="003B6E03">
        <w:t>條</w:t>
      </w:r>
    </w:p>
    <w:p w14:paraId="223133FE" w14:textId="41C11BD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為使國民法官、備位國民法官易於理解、得以實質參與，並避免造成其時間與精神上之過重負擔，法官、檢察官或辯護人應為下列各款事項之處理：</w:t>
      </w:r>
    </w:p>
    <w:p w14:paraId="1E4102AF" w14:textId="77777777" w:rsidR="003B6E03" w:rsidRDefault="000D4C99" w:rsidP="00674FCC">
      <w:pPr>
        <w:ind w:left="142"/>
        <w:jc w:val="both"/>
      </w:pPr>
      <w:r>
        <w:t xml:space="preserve">　　一、於準備程序，進行詳盡之爭點整理</w:t>
      </w:r>
      <w:r w:rsidR="003B6E03">
        <w:t>。</w:t>
      </w:r>
    </w:p>
    <w:p w14:paraId="6EDF7A12" w14:textId="5B10D48B" w:rsidR="003B6E03" w:rsidRDefault="003B6E03" w:rsidP="00674FCC">
      <w:pPr>
        <w:ind w:left="142"/>
        <w:jc w:val="both"/>
      </w:pPr>
      <w:r>
        <w:t xml:space="preserve">　　二、</w:t>
      </w:r>
      <w:r w:rsidR="000D4C99">
        <w:t>於審判期日之訴訟程序，進行集中、迅速之調查證據及辯論</w:t>
      </w:r>
      <w:r>
        <w:t>。</w:t>
      </w:r>
    </w:p>
    <w:p w14:paraId="2EBCA4BA" w14:textId="4B43FB4B" w:rsidR="000D4C99" w:rsidRDefault="003B6E03" w:rsidP="00674FCC">
      <w:pPr>
        <w:ind w:left="142"/>
        <w:jc w:val="both"/>
      </w:pPr>
      <w:r>
        <w:t xml:space="preserve">　　三、</w:t>
      </w:r>
      <w:r w:rsidR="000D4C99">
        <w:t>於國民法官、備位國民法官請求時，進行足為釐清其疑惑之說明；於終局評議時，使其完整陳述意見。</w:t>
      </w:r>
    </w:p>
    <w:p w14:paraId="25C296B6" w14:textId="77777777" w:rsidR="003B6E03" w:rsidRDefault="000D4C99" w:rsidP="00674FCC">
      <w:pPr>
        <w:pStyle w:val="2"/>
        <w:jc w:val="both"/>
      </w:pPr>
      <w:bookmarkStart w:id="56" w:name="a46"/>
      <w:bookmarkEnd w:id="56"/>
      <w:r>
        <w:t>第</w:t>
      </w:r>
      <w:r>
        <w:t>46</w:t>
      </w:r>
      <w:r w:rsidR="003B6E03">
        <w:t>條</w:t>
      </w:r>
    </w:p>
    <w:p w14:paraId="2CF795CE" w14:textId="7E19FE5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審判長指揮訴訟，應注意法庭上之言詞或書面陳述無使國民法官、備位國民法官產生預斷之虞或偏見之事項，並隨時為必要之闡明或釐清</w:t>
      </w:r>
      <w:r w:rsidR="003B6E03">
        <w:t>。</w:t>
      </w:r>
    </w:p>
    <w:p w14:paraId="1CAB6855" w14:textId="2B1258E6" w:rsidR="0017710E" w:rsidRDefault="003B6E03" w:rsidP="00674FCC">
      <w:pPr>
        <w:ind w:left="142"/>
        <w:jc w:val="both"/>
      </w:pPr>
      <w:r>
        <w:t xml:space="preserve">　　　　</w:t>
      </w:r>
      <w:r w:rsidR="00BC30C3" w:rsidRPr="00A22F73">
        <w:rPr>
          <w:rFonts w:ascii="Arial Unicode MS" w:hAnsi="Arial Unicode MS"/>
          <w:color w:val="808000"/>
          <w:sz w:val="18"/>
        </w:rPr>
        <w:t xml:space="preserve">　　　　　　　　　　　　　　　　　　　　　　　　　　　　　　　　　　　　　　　　　　　　</w:t>
      </w:r>
      <w:hyperlink w:anchor="a章節索引" w:history="1">
        <w:r w:rsidR="00BC30C3" w:rsidRPr="00A22F73">
          <w:rPr>
            <w:rStyle w:val="a3"/>
            <w:rFonts w:ascii="Arial Unicode MS" w:hAnsi="Arial Unicode MS"/>
            <w:sz w:val="18"/>
          </w:rPr>
          <w:t>回索引</w:t>
        </w:r>
      </w:hyperlink>
      <w:r w:rsidR="00BC30C3" w:rsidRPr="00A22F73">
        <w:rPr>
          <w:rFonts w:ascii="Arial Unicode MS" w:hAnsi="Arial Unicode MS" w:hint="eastAsia"/>
          <w:color w:val="808000"/>
          <w:sz w:val="18"/>
        </w:rPr>
        <w:t>〉〉</w:t>
      </w:r>
    </w:p>
    <w:p w14:paraId="123430A4" w14:textId="27A20319" w:rsidR="000D4C99" w:rsidRDefault="000D4C99" w:rsidP="00674FCC">
      <w:pPr>
        <w:pStyle w:val="1"/>
        <w:jc w:val="both"/>
      </w:pPr>
      <w:bookmarkStart w:id="57" w:name="_第四章__審理程序_2"/>
      <w:bookmarkEnd w:id="57"/>
      <w:r>
        <w:t xml:space="preserve">第四章　　審理程序　　第三節　</w:t>
      </w:r>
      <w:r w:rsidR="00B323BA">
        <w:t xml:space="preserve">　</w:t>
      </w:r>
      <w:r>
        <w:t>準備程序</w:t>
      </w:r>
    </w:p>
    <w:p w14:paraId="100C3DC4" w14:textId="77777777" w:rsidR="003B6E03" w:rsidRDefault="000D4C99" w:rsidP="00674FCC">
      <w:pPr>
        <w:pStyle w:val="2"/>
        <w:jc w:val="both"/>
      </w:pPr>
      <w:bookmarkStart w:id="58" w:name="a47"/>
      <w:bookmarkEnd w:id="58"/>
      <w:r>
        <w:t>第</w:t>
      </w:r>
      <w:r>
        <w:t>47</w:t>
      </w:r>
      <w:r w:rsidR="003B6E03">
        <w:t>條</w:t>
      </w:r>
    </w:p>
    <w:p w14:paraId="533E5B08" w14:textId="6827009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法院應於第一次審判期日前，行準備程序</w:t>
      </w:r>
      <w:r w:rsidR="003B6E03">
        <w:t>。</w:t>
      </w:r>
    </w:p>
    <w:p w14:paraId="03A1D423" w14:textId="63436D4B" w:rsidR="003B6E03"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17710E">
        <w:rPr>
          <w:color w:val="17365D"/>
        </w:rPr>
        <w:t>準備程序，得為下列各款事項之處理：</w:t>
      </w:r>
    </w:p>
    <w:p w14:paraId="7253F6DD" w14:textId="77777777" w:rsidR="003B6E03" w:rsidRDefault="003B6E03" w:rsidP="00674FCC">
      <w:pPr>
        <w:ind w:left="142"/>
        <w:jc w:val="both"/>
        <w:rPr>
          <w:color w:val="17365D"/>
        </w:rPr>
      </w:pPr>
      <w:r w:rsidRPr="0017710E">
        <w:rPr>
          <w:color w:val="17365D"/>
        </w:rPr>
        <w:t xml:space="preserve">　　一、起訴效力所及之範圍與有無應變更檢察官所引應適用法條之情形</w:t>
      </w:r>
      <w:r>
        <w:rPr>
          <w:color w:val="17365D"/>
        </w:rPr>
        <w:t>。</w:t>
      </w:r>
    </w:p>
    <w:p w14:paraId="1A326650" w14:textId="77777777" w:rsidR="003B6E03" w:rsidRDefault="003B6E03" w:rsidP="00674FCC">
      <w:pPr>
        <w:ind w:left="142"/>
        <w:jc w:val="both"/>
        <w:rPr>
          <w:color w:val="17365D"/>
        </w:rPr>
      </w:pPr>
      <w:r>
        <w:rPr>
          <w:color w:val="17365D"/>
        </w:rPr>
        <w:t xml:space="preserve">　　</w:t>
      </w:r>
      <w:r w:rsidRPr="0017710E">
        <w:rPr>
          <w:color w:val="17365D"/>
        </w:rPr>
        <w:t>二</w:t>
      </w:r>
      <w:r>
        <w:rPr>
          <w:color w:val="17365D"/>
        </w:rPr>
        <w:t>、</w:t>
      </w:r>
      <w:r w:rsidRPr="0017710E">
        <w:rPr>
          <w:color w:val="17365D"/>
        </w:rPr>
        <w:t>訊問被告及辯護人對檢察官起訴事實是否為認罪之答辯</w:t>
      </w:r>
      <w:r>
        <w:rPr>
          <w:color w:val="17365D"/>
        </w:rPr>
        <w:t>。</w:t>
      </w:r>
    </w:p>
    <w:p w14:paraId="1A8BBF71" w14:textId="77777777" w:rsidR="003B6E03" w:rsidRDefault="003B6E03" w:rsidP="00674FCC">
      <w:pPr>
        <w:ind w:left="142"/>
        <w:jc w:val="both"/>
        <w:rPr>
          <w:color w:val="17365D"/>
        </w:rPr>
      </w:pPr>
      <w:r>
        <w:rPr>
          <w:color w:val="17365D"/>
        </w:rPr>
        <w:t xml:space="preserve">　　</w:t>
      </w:r>
      <w:r w:rsidRPr="0017710E">
        <w:rPr>
          <w:color w:val="17365D"/>
        </w:rPr>
        <w:t>三</w:t>
      </w:r>
      <w:r>
        <w:rPr>
          <w:color w:val="17365D"/>
        </w:rPr>
        <w:t>、</w:t>
      </w:r>
      <w:r w:rsidRPr="0017710E">
        <w:rPr>
          <w:color w:val="17365D"/>
        </w:rPr>
        <w:t>案件爭點之整理</w:t>
      </w:r>
      <w:r>
        <w:rPr>
          <w:color w:val="17365D"/>
        </w:rPr>
        <w:t>。</w:t>
      </w:r>
    </w:p>
    <w:p w14:paraId="7E3C0440" w14:textId="77777777" w:rsidR="003B6E03" w:rsidRDefault="003B6E03" w:rsidP="00674FCC">
      <w:pPr>
        <w:ind w:left="142"/>
        <w:jc w:val="both"/>
        <w:rPr>
          <w:color w:val="17365D"/>
        </w:rPr>
      </w:pPr>
      <w:r>
        <w:rPr>
          <w:color w:val="17365D"/>
        </w:rPr>
        <w:t xml:space="preserve">　　</w:t>
      </w:r>
      <w:r w:rsidRPr="0017710E">
        <w:rPr>
          <w:color w:val="17365D"/>
        </w:rPr>
        <w:t>四</w:t>
      </w:r>
      <w:r>
        <w:rPr>
          <w:color w:val="17365D"/>
        </w:rPr>
        <w:t>、</w:t>
      </w:r>
      <w:r w:rsidRPr="0017710E">
        <w:rPr>
          <w:color w:val="17365D"/>
        </w:rPr>
        <w:t>曉諭為證據調查之聲請</w:t>
      </w:r>
      <w:r>
        <w:rPr>
          <w:color w:val="17365D"/>
        </w:rPr>
        <w:t>。</w:t>
      </w:r>
    </w:p>
    <w:p w14:paraId="5F7BFFE9" w14:textId="77777777" w:rsidR="003B6E03" w:rsidRDefault="003B6E03" w:rsidP="00674FCC">
      <w:pPr>
        <w:ind w:left="142"/>
        <w:jc w:val="both"/>
        <w:rPr>
          <w:color w:val="17365D"/>
        </w:rPr>
      </w:pPr>
      <w:r>
        <w:rPr>
          <w:color w:val="17365D"/>
        </w:rPr>
        <w:t xml:space="preserve">　　</w:t>
      </w:r>
      <w:r w:rsidRPr="0017710E">
        <w:rPr>
          <w:color w:val="17365D"/>
        </w:rPr>
        <w:t>五</w:t>
      </w:r>
      <w:r>
        <w:rPr>
          <w:color w:val="17365D"/>
        </w:rPr>
        <w:t>、</w:t>
      </w:r>
      <w:r w:rsidRPr="0017710E">
        <w:rPr>
          <w:color w:val="17365D"/>
        </w:rPr>
        <w:t>有關證據開示之事項</w:t>
      </w:r>
      <w:r>
        <w:rPr>
          <w:color w:val="17365D"/>
        </w:rPr>
        <w:t>。</w:t>
      </w:r>
    </w:p>
    <w:p w14:paraId="331586CE" w14:textId="77777777" w:rsidR="003B6E03" w:rsidRDefault="003B6E03" w:rsidP="00674FCC">
      <w:pPr>
        <w:ind w:left="142"/>
        <w:jc w:val="both"/>
        <w:rPr>
          <w:color w:val="17365D"/>
        </w:rPr>
      </w:pPr>
      <w:r>
        <w:rPr>
          <w:color w:val="17365D"/>
        </w:rPr>
        <w:t xml:space="preserve">　　</w:t>
      </w:r>
      <w:r w:rsidRPr="0017710E">
        <w:rPr>
          <w:color w:val="17365D"/>
        </w:rPr>
        <w:t>六</w:t>
      </w:r>
      <w:r>
        <w:rPr>
          <w:color w:val="17365D"/>
        </w:rPr>
        <w:t>、</w:t>
      </w:r>
      <w:r w:rsidRPr="0017710E">
        <w:rPr>
          <w:color w:val="17365D"/>
        </w:rPr>
        <w:t>有關證據能力及證據有無調查必要之事項</w:t>
      </w:r>
      <w:r>
        <w:rPr>
          <w:color w:val="17365D"/>
        </w:rPr>
        <w:t>。</w:t>
      </w:r>
    </w:p>
    <w:p w14:paraId="5BE15BA9" w14:textId="77777777" w:rsidR="003B6E03" w:rsidRDefault="003B6E03" w:rsidP="00674FCC">
      <w:pPr>
        <w:ind w:left="142"/>
        <w:jc w:val="both"/>
        <w:rPr>
          <w:color w:val="17365D"/>
        </w:rPr>
      </w:pPr>
      <w:r>
        <w:rPr>
          <w:color w:val="17365D"/>
        </w:rPr>
        <w:t xml:space="preserve">　　</w:t>
      </w:r>
      <w:r w:rsidRPr="0017710E">
        <w:rPr>
          <w:color w:val="17365D"/>
        </w:rPr>
        <w:t>七</w:t>
      </w:r>
      <w:r>
        <w:rPr>
          <w:color w:val="17365D"/>
        </w:rPr>
        <w:t>、</w:t>
      </w:r>
      <w:r w:rsidRPr="0017710E">
        <w:rPr>
          <w:color w:val="17365D"/>
        </w:rPr>
        <w:t>依職權調查之證據，予當事人、辯護人或輔佐人陳述意見之機會</w:t>
      </w:r>
      <w:r>
        <w:rPr>
          <w:color w:val="17365D"/>
        </w:rPr>
        <w:t>。</w:t>
      </w:r>
    </w:p>
    <w:p w14:paraId="6F863F87" w14:textId="77777777" w:rsidR="003B6E03" w:rsidRDefault="003B6E03" w:rsidP="00674FCC">
      <w:pPr>
        <w:ind w:left="142"/>
        <w:jc w:val="both"/>
        <w:rPr>
          <w:color w:val="17365D"/>
        </w:rPr>
      </w:pPr>
      <w:r>
        <w:rPr>
          <w:color w:val="17365D"/>
        </w:rPr>
        <w:t xml:space="preserve">　　</w:t>
      </w:r>
      <w:r w:rsidRPr="0017710E">
        <w:rPr>
          <w:color w:val="17365D"/>
        </w:rPr>
        <w:t>八</w:t>
      </w:r>
      <w:r>
        <w:rPr>
          <w:color w:val="17365D"/>
        </w:rPr>
        <w:t>、</w:t>
      </w:r>
      <w:r w:rsidRPr="0017710E">
        <w:rPr>
          <w:color w:val="17365D"/>
        </w:rPr>
        <w:t>命為鑑定或為勘驗</w:t>
      </w:r>
      <w:r>
        <w:rPr>
          <w:color w:val="17365D"/>
        </w:rPr>
        <w:t>。</w:t>
      </w:r>
    </w:p>
    <w:p w14:paraId="0C4015C8" w14:textId="77777777" w:rsidR="003B6E03" w:rsidRDefault="003B6E03" w:rsidP="00674FCC">
      <w:pPr>
        <w:ind w:left="142"/>
        <w:jc w:val="both"/>
        <w:rPr>
          <w:color w:val="17365D"/>
        </w:rPr>
      </w:pPr>
      <w:r>
        <w:rPr>
          <w:color w:val="17365D"/>
        </w:rPr>
        <w:lastRenderedPageBreak/>
        <w:t xml:space="preserve">　　</w:t>
      </w:r>
      <w:r w:rsidRPr="0017710E">
        <w:rPr>
          <w:color w:val="17365D"/>
        </w:rPr>
        <w:t>九</w:t>
      </w:r>
      <w:r>
        <w:rPr>
          <w:color w:val="17365D"/>
        </w:rPr>
        <w:t>、</w:t>
      </w:r>
      <w:r w:rsidRPr="0017710E">
        <w:rPr>
          <w:color w:val="17365D"/>
        </w:rPr>
        <w:t>確認證據調查之範圍、次序及方法</w:t>
      </w:r>
      <w:r>
        <w:rPr>
          <w:color w:val="17365D"/>
        </w:rPr>
        <w:t>。</w:t>
      </w:r>
    </w:p>
    <w:p w14:paraId="11905753" w14:textId="77777777" w:rsidR="003B6E03" w:rsidRDefault="003B6E03" w:rsidP="00674FCC">
      <w:pPr>
        <w:ind w:left="142"/>
        <w:jc w:val="both"/>
        <w:rPr>
          <w:color w:val="17365D"/>
        </w:rPr>
      </w:pPr>
      <w:r>
        <w:rPr>
          <w:color w:val="17365D"/>
        </w:rPr>
        <w:t xml:space="preserve">　　</w:t>
      </w:r>
      <w:r w:rsidRPr="0017710E">
        <w:rPr>
          <w:color w:val="17365D"/>
        </w:rPr>
        <w:t>十</w:t>
      </w:r>
      <w:r>
        <w:rPr>
          <w:color w:val="17365D"/>
        </w:rPr>
        <w:t>、</w:t>
      </w:r>
      <w:r w:rsidRPr="0017710E">
        <w:rPr>
          <w:color w:val="17365D"/>
        </w:rPr>
        <w:t>與選任程序有關之事項</w:t>
      </w:r>
      <w:r>
        <w:rPr>
          <w:color w:val="17365D"/>
        </w:rPr>
        <w:t>。</w:t>
      </w:r>
    </w:p>
    <w:p w14:paraId="0E3225F1" w14:textId="6972D16F" w:rsidR="003B6E03" w:rsidRDefault="003B6E03" w:rsidP="00674FCC">
      <w:pPr>
        <w:ind w:left="142"/>
        <w:jc w:val="both"/>
      </w:pPr>
      <w:r>
        <w:rPr>
          <w:color w:val="17365D"/>
        </w:rPr>
        <w:t xml:space="preserve">　　</w:t>
      </w:r>
      <w:r w:rsidRPr="0017710E">
        <w:rPr>
          <w:color w:val="17365D"/>
        </w:rPr>
        <w:t>十一</w:t>
      </w:r>
      <w:r>
        <w:rPr>
          <w:color w:val="17365D"/>
        </w:rPr>
        <w:t>、</w:t>
      </w:r>
      <w:r w:rsidRPr="0017710E">
        <w:rPr>
          <w:color w:val="17365D"/>
        </w:rPr>
        <w:t>其他與審判有關之事項</w:t>
      </w:r>
      <w:r>
        <w:t>。</w:t>
      </w:r>
    </w:p>
    <w:p w14:paraId="7A97F85B" w14:textId="155E373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法院應依前項整理結果，作成審理計畫。審理計畫之格式及應記載之事項，由司法院</w:t>
      </w:r>
      <w:hyperlink r:id="rId28" w:history="1">
        <w:r w:rsidR="003B6E03" w:rsidRPr="00422DBB">
          <w:rPr>
            <w:rStyle w:val="a3"/>
            <w:rFonts w:ascii="Times New Roman" w:hAnsi="Times New Roman"/>
          </w:rPr>
          <w:t>定之</w:t>
        </w:r>
      </w:hyperlink>
      <w:r w:rsidR="003B6E03">
        <w:t>。</w:t>
      </w:r>
    </w:p>
    <w:p w14:paraId="215CB378" w14:textId="7637C164" w:rsidR="000D4C99"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17710E">
        <w:rPr>
          <w:color w:val="17365D"/>
        </w:rPr>
        <w:t>準備程序，得以庭員一人為受命法官行之。受命法官行準備程序，與法院或審判長有同一之權限。但第</w:t>
      </w:r>
      <w:hyperlink w:anchor="a50" w:history="1">
        <w:r w:rsidR="000D4C99" w:rsidRPr="00152F91">
          <w:rPr>
            <w:rStyle w:val="a3"/>
            <w:rFonts w:ascii="Times New Roman" w:hAnsi="Times New Roman"/>
          </w:rPr>
          <w:t>五十</w:t>
        </w:r>
      </w:hyperlink>
      <w:r w:rsidR="000D4C99" w:rsidRPr="0017710E">
        <w:rPr>
          <w:color w:val="17365D"/>
        </w:rPr>
        <w:t>條第一項、第</w:t>
      </w:r>
      <w:hyperlink w:anchor="a60" w:history="1">
        <w:r w:rsidR="000D4C99" w:rsidRPr="00152F91">
          <w:rPr>
            <w:rStyle w:val="a3"/>
            <w:rFonts w:ascii="Times New Roman" w:hAnsi="Times New Roman"/>
          </w:rPr>
          <w:t>六十</w:t>
        </w:r>
      </w:hyperlink>
      <w:r w:rsidR="000D4C99" w:rsidRPr="0017710E">
        <w:rPr>
          <w:color w:val="17365D"/>
        </w:rPr>
        <w:t>條第一項、第</w:t>
      </w:r>
      <w:hyperlink w:anchor="a62" w:history="1">
        <w:r w:rsidR="000D4C99" w:rsidRPr="00152F91">
          <w:rPr>
            <w:rStyle w:val="a3"/>
            <w:rFonts w:ascii="Times New Roman" w:hAnsi="Times New Roman"/>
          </w:rPr>
          <w:t>六十二</w:t>
        </w:r>
      </w:hyperlink>
      <w:r w:rsidR="000D4C99" w:rsidRPr="0017710E">
        <w:rPr>
          <w:color w:val="17365D"/>
        </w:rPr>
        <w:t>條第一項、第二項、刑事訴訟法第</w:t>
      </w:r>
      <w:hyperlink r:id="rId29" w:anchor="a121" w:history="1">
        <w:r w:rsidR="000D4C99" w:rsidRPr="00B323BA">
          <w:rPr>
            <w:rStyle w:val="a3"/>
            <w:rFonts w:ascii="Times New Roman" w:hAnsi="Times New Roman"/>
          </w:rPr>
          <w:t>一百二十一</w:t>
        </w:r>
      </w:hyperlink>
      <w:r w:rsidR="000D4C99" w:rsidRPr="0017710E">
        <w:rPr>
          <w:color w:val="17365D"/>
        </w:rPr>
        <w:t>條之裁定，不適用之。</w:t>
      </w:r>
    </w:p>
    <w:p w14:paraId="5C164618" w14:textId="77777777" w:rsidR="003B6E03" w:rsidRDefault="000D4C99" w:rsidP="00674FCC">
      <w:pPr>
        <w:pStyle w:val="2"/>
        <w:jc w:val="both"/>
      </w:pPr>
      <w:bookmarkStart w:id="59" w:name="a48"/>
      <w:bookmarkEnd w:id="59"/>
      <w:r>
        <w:t>第</w:t>
      </w:r>
      <w:r>
        <w:t>48</w:t>
      </w:r>
      <w:r w:rsidR="003B6E03">
        <w:t>條</w:t>
      </w:r>
    </w:p>
    <w:p w14:paraId="4EB6AA1B" w14:textId="15E328F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法院應指定準備程序期日，傳喚被告，並通知檢察官、辯護人及輔佐人到庭</w:t>
      </w:r>
      <w:r w:rsidR="003B6E03">
        <w:t>。</w:t>
      </w:r>
    </w:p>
    <w:p w14:paraId="2F4645B9" w14:textId="3A30C9D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17710E">
        <w:rPr>
          <w:color w:val="17365D"/>
        </w:rPr>
        <w:t>法院認有必要者，得傳喚或通知訴訟關係人於準備程序期日到庭</w:t>
      </w:r>
      <w:r w:rsidR="003B6E03">
        <w:t>。</w:t>
      </w:r>
    </w:p>
    <w:p w14:paraId="34468962" w14:textId="529EA391"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檢察官、辯護人不到庭者，不得行準備程序。第一次準備程序期日之傳票或通知，至遲應於十四日前送達。</w:t>
      </w:r>
    </w:p>
    <w:p w14:paraId="74BCE927" w14:textId="77777777" w:rsidR="003B6E03" w:rsidRDefault="000D4C99" w:rsidP="00674FCC">
      <w:pPr>
        <w:pStyle w:val="2"/>
        <w:jc w:val="both"/>
      </w:pPr>
      <w:bookmarkStart w:id="60" w:name="a49"/>
      <w:bookmarkEnd w:id="60"/>
      <w:r>
        <w:t>第</w:t>
      </w:r>
      <w:r>
        <w:t>49</w:t>
      </w:r>
      <w:r w:rsidR="003B6E03">
        <w:t>條</w:t>
      </w:r>
    </w:p>
    <w:p w14:paraId="5C57C09F" w14:textId="31A762F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法院為處理第</w:t>
      </w:r>
      <w:hyperlink w:anchor="a47" w:history="1">
        <w:r w:rsidR="000D4C99" w:rsidRPr="003B65B6">
          <w:rPr>
            <w:rStyle w:val="a3"/>
            <w:rFonts w:ascii="Times New Roman" w:hAnsi="Times New Roman"/>
          </w:rPr>
          <w:t>四十七</w:t>
        </w:r>
      </w:hyperlink>
      <w:r w:rsidR="000D4C99">
        <w:t>條第二項之各款事項，得對當事人、辯護人、輔佐人及訴訟關係人為必要之訊問。</w:t>
      </w:r>
    </w:p>
    <w:p w14:paraId="3A869767" w14:textId="77777777" w:rsidR="003B6E03" w:rsidRDefault="000D4C99" w:rsidP="00674FCC">
      <w:pPr>
        <w:pStyle w:val="2"/>
        <w:jc w:val="both"/>
      </w:pPr>
      <w:bookmarkStart w:id="61" w:name="a50"/>
      <w:bookmarkEnd w:id="61"/>
      <w:r>
        <w:t>第</w:t>
      </w:r>
      <w:r>
        <w:t>50</w:t>
      </w:r>
      <w:r w:rsidR="003B6E03">
        <w:t>條</w:t>
      </w:r>
    </w:p>
    <w:p w14:paraId="6573F09E" w14:textId="19EC44F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準備程序之進行，除有下列情形之一者外，應於公開法庭行之：</w:t>
      </w:r>
    </w:p>
    <w:p w14:paraId="31499886" w14:textId="77777777" w:rsidR="003B6E03" w:rsidRDefault="000D4C99" w:rsidP="00674FCC">
      <w:pPr>
        <w:ind w:left="142"/>
        <w:jc w:val="both"/>
      </w:pPr>
      <w:r>
        <w:t xml:space="preserve">　　一、法律另有規定者</w:t>
      </w:r>
      <w:r w:rsidR="003B6E03">
        <w:t>。</w:t>
      </w:r>
    </w:p>
    <w:p w14:paraId="4444FFE3" w14:textId="1D5F5AB9" w:rsidR="003B6E03" w:rsidRDefault="003B6E03" w:rsidP="00674FCC">
      <w:pPr>
        <w:ind w:left="142"/>
        <w:jc w:val="both"/>
      </w:pPr>
      <w:r>
        <w:t xml:space="preserve">　　二、</w:t>
      </w:r>
      <w:r w:rsidR="000D4C99">
        <w:t>有妨害國家安全、公共秩序或善良風俗之虞，經裁定不予公開</w:t>
      </w:r>
      <w:r>
        <w:t>。</w:t>
      </w:r>
    </w:p>
    <w:p w14:paraId="09A3DD7B" w14:textId="7DA09525" w:rsidR="003B6E03" w:rsidRDefault="003B6E03" w:rsidP="00674FCC">
      <w:pPr>
        <w:ind w:left="142"/>
        <w:jc w:val="both"/>
      </w:pPr>
      <w:r>
        <w:t xml:space="preserve">　　三、</w:t>
      </w:r>
      <w:r w:rsidR="000D4C99">
        <w:t>為期程序順利進行，經聽取當事人、辯護人及輔佐人之意見後，裁定不予公開</w:t>
      </w:r>
      <w:r>
        <w:t>。</w:t>
      </w:r>
    </w:p>
    <w:p w14:paraId="405DFDD1" w14:textId="5C2165B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t>前項裁定，不得抗告。</w:t>
      </w:r>
    </w:p>
    <w:p w14:paraId="77598A1C" w14:textId="2B019163" w:rsidR="000D4C99" w:rsidRPr="0017710E"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rsidRPr="0017710E">
        <w:rPr>
          <w:color w:val="17365D"/>
        </w:rPr>
        <w:t>國民法官及備位國民法官，於準備程序期日無須到庭。</w:t>
      </w:r>
    </w:p>
    <w:p w14:paraId="426C196B" w14:textId="77777777" w:rsidR="003B6E03" w:rsidRDefault="000D4C99" w:rsidP="00674FCC">
      <w:pPr>
        <w:pStyle w:val="2"/>
        <w:jc w:val="both"/>
      </w:pPr>
      <w:bookmarkStart w:id="62" w:name="a51"/>
      <w:bookmarkEnd w:id="62"/>
      <w:r>
        <w:t>第</w:t>
      </w:r>
      <w:r>
        <w:t>51</w:t>
      </w:r>
      <w:r w:rsidR="003B6E03">
        <w:t>條</w:t>
      </w:r>
    </w:p>
    <w:p w14:paraId="08C7ED05" w14:textId="29F52E1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檢察官、辯護人因準備程序之必要，宜相互聯絡以確認下列事項：</w:t>
      </w:r>
    </w:p>
    <w:p w14:paraId="46C97626" w14:textId="77777777" w:rsidR="003B6E03" w:rsidRDefault="000D4C99" w:rsidP="00674FCC">
      <w:pPr>
        <w:ind w:left="142"/>
        <w:jc w:val="both"/>
      </w:pPr>
      <w:r>
        <w:t xml:space="preserve">　　一、檢察官起訴書記載之犯罪事實、所犯法條及被告之陳述或答辯</w:t>
      </w:r>
      <w:r w:rsidR="003B6E03">
        <w:t>。</w:t>
      </w:r>
    </w:p>
    <w:p w14:paraId="23F1B7FA" w14:textId="46F27E36" w:rsidR="003B6E03" w:rsidRDefault="003B6E03" w:rsidP="00674FCC">
      <w:pPr>
        <w:ind w:left="142"/>
        <w:jc w:val="both"/>
      </w:pPr>
      <w:r>
        <w:t xml:space="preserve">　　二、</w:t>
      </w:r>
      <w:r w:rsidR="000D4C99">
        <w:t>本案之爭點</w:t>
      </w:r>
      <w:r>
        <w:t>。</w:t>
      </w:r>
    </w:p>
    <w:p w14:paraId="72585A3C" w14:textId="02AB1389" w:rsidR="003B6E03" w:rsidRDefault="003B6E03" w:rsidP="00674FCC">
      <w:pPr>
        <w:ind w:left="142"/>
        <w:jc w:val="both"/>
      </w:pPr>
      <w:r>
        <w:t xml:space="preserve">　　三、</w:t>
      </w:r>
      <w:r w:rsidR="000D4C99">
        <w:t>雙方預定聲請調查證據項目、待證事實，及其範圍、次序及方法</w:t>
      </w:r>
      <w:r>
        <w:t>。</w:t>
      </w:r>
    </w:p>
    <w:p w14:paraId="7FBC6343" w14:textId="064B2880" w:rsidR="003B6E03" w:rsidRDefault="003B6E03" w:rsidP="00674FCC">
      <w:pPr>
        <w:ind w:left="142"/>
        <w:jc w:val="both"/>
      </w:pPr>
      <w:r>
        <w:t xml:space="preserve">　　四、</w:t>
      </w:r>
      <w:r w:rsidR="000D4C99">
        <w:t>雙方對聲請調查證據之意見</w:t>
      </w:r>
      <w:r>
        <w:t>。</w:t>
      </w:r>
    </w:p>
    <w:p w14:paraId="52A50F6C" w14:textId="2AF41FC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17710E">
        <w:rPr>
          <w:color w:val="17365D"/>
        </w:rPr>
        <w:t>辯護人應於第一次準備程序期日前，與被告事先確定事實關係，整理爭點</w:t>
      </w:r>
      <w:r w:rsidR="003B6E03">
        <w:t>。</w:t>
      </w:r>
    </w:p>
    <w:p w14:paraId="405DE202" w14:textId="75593CD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法院認為適當者，得於準備程序期日前，聯繫檢察官、辯護人並協商訴訟進行之必要事項。</w:t>
      </w:r>
    </w:p>
    <w:p w14:paraId="7D264952" w14:textId="77777777" w:rsidR="003B6E03" w:rsidRDefault="000D4C99" w:rsidP="00674FCC">
      <w:pPr>
        <w:pStyle w:val="2"/>
        <w:jc w:val="both"/>
      </w:pPr>
      <w:bookmarkStart w:id="63" w:name="a52"/>
      <w:bookmarkEnd w:id="63"/>
      <w:r>
        <w:t>第</w:t>
      </w:r>
      <w:r>
        <w:t>52</w:t>
      </w:r>
      <w:r w:rsidR="003B6E03">
        <w:t>條</w:t>
      </w:r>
    </w:p>
    <w:p w14:paraId="4476B5E4" w14:textId="7B4304A6"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檢察官因準備程序之必要，應以準備程序書狀分別具體記載下列各款之事項，提出於法院，並將繕本送達於被告或辯護人：</w:t>
      </w:r>
    </w:p>
    <w:p w14:paraId="29AA3B53" w14:textId="77777777" w:rsidR="003B6E03" w:rsidRDefault="000D4C99" w:rsidP="00674FCC">
      <w:pPr>
        <w:ind w:left="142"/>
        <w:jc w:val="both"/>
      </w:pPr>
      <w:r>
        <w:t xml:space="preserve">　　一、聲請調查之證據及其與待證事實之關係</w:t>
      </w:r>
      <w:r w:rsidR="003B6E03">
        <w:t>。</w:t>
      </w:r>
    </w:p>
    <w:p w14:paraId="5C4A6BE6" w14:textId="4FCA8289" w:rsidR="003B6E03" w:rsidRDefault="003B6E03" w:rsidP="00674FCC">
      <w:pPr>
        <w:ind w:left="142"/>
        <w:jc w:val="both"/>
      </w:pPr>
      <w:r>
        <w:t xml:space="preserve">　　二、</w:t>
      </w:r>
      <w:r w:rsidR="000D4C99">
        <w:t>聲請傳喚之證人、鑑定人、通譯之姓名、性別、住居所及預期詰問所需之時間</w:t>
      </w:r>
      <w:r>
        <w:t>。</w:t>
      </w:r>
    </w:p>
    <w:p w14:paraId="3BE0F439" w14:textId="514AF84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17710E">
        <w:rPr>
          <w:color w:val="17365D"/>
        </w:rPr>
        <w:t>前項事項有補充或更正者，應另以準備程序書狀或當庭以言詞提出於法院</w:t>
      </w:r>
      <w:r w:rsidR="003B6E03">
        <w:t>。</w:t>
      </w:r>
    </w:p>
    <w:p w14:paraId="7194F04E" w14:textId="346F9E6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前二項書狀及陳述不得包含與起訴犯罪事實無關之事實、證據，及使法院就案件產生預斷之虞之內容。</w:t>
      </w:r>
    </w:p>
    <w:p w14:paraId="1B944F36" w14:textId="08A50D2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17710E">
        <w:rPr>
          <w:color w:val="17365D"/>
        </w:rPr>
        <w:t>檢察官依第一項、第二項規定聲請調查證據，應慎選證據為之</w:t>
      </w:r>
      <w:r w:rsidR="003B6E03">
        <w:t>。</w:t>
      </w:r>
    </w:p>
    <w:p w14:paraId="57800A7B" w14:textId="2450A19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0D4C99">
        <w:t>法院得於聽取檢察官、辯護人之意見後，定第一項、第二項書狀或陳述之提出期限。</w:t>
      </w:r>
    </w:p>
    <w:p w14:paraId="124EF5DD" w14:textId="77777777" w:rsidR="003B6E03" w:rsidRDefault="000D4C99" w:rsidP="00674FCC">
      <w:pPr>
        <w:pStyle w:val="2"/>
        <w:jc w:val="both"/>
      </w:pPr>
      <w:bookmarkStart w:id="64" w:name="a53"/>
      <w:bookmarkEnd w:id="64"/>
      <w:r>
        <w:lastRenderedPageBreak/>
        <w:t>第</w:t>
      </w:r>
      <w:r>
        <w:t>53</w:t>
      </w:r>
      <w:r w:rsidR="003B6E03">
        <w:t>條</w:t>
      </w:r>
    </w:p>
    <w:p w14:paraId="64987023" w14:textId="74A2DD6C"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檢察官於起訴後，應即向辯護人或被告開示本案之卷宗及證物。但有下列情形之一者，檢察官得拒絕開示或限制開示，並應同時以書面告知理由：</w:t>
      </w:r>
    </w:p>
    <w:p w14:paraId="66D1D113" w14:textId="77777777" w:rsidR="003B6E03" w:rsidRDefault="000D4C99" w:rsidP="00674FCC">
      <w:pPr>
        <w:ind w:left="142"/>
        <w:jc w:val="both"/>
      </w:pPr>
      <w:r>
        <w:t xml:space="preserve">　　一、卷宗及證物之內容與被訴事實無關</w:t>
      </w:r>
      <w:r w:rsidR="003B6E03">
        <w:t>。</w:t>
      </w:r>
    </w:p>
    <w:p w14:paraId="1F23C4D4" w14:textId="6A9FBF16" w:rsidR="003B6E03" w:rsidRDefault="003B6E03" w:rsidP="00674FCC">
      <w:pPr>
        <w:ind w:left="142"/>
        <w:jc w:val="both"/>
      </w:pPr>
      <w:r>
        <w:t xml:space="preserve">　　二、</w:t>
      </w:r>
      <w:r w:rsidR="000D4C99">
        <w:t>妨害另案之偵查</w:t>
      </w:r>
      <w:r>
        <w:t>。</w:t>
      </w:r>
    </w:p>
    <w:p w14:paraId="187FB999" w14:textId="4FEB2582" w:rsidR="003B6E03" w:rsidRDefault="003B6E03" w:rsidP="00674FCC">
      <w:pPr>
        <w:ind w:left="142"/>
        <w:jc w:val="both"/>
      </w:pPr>
      <w:r>
        <w:t xml:space="preserve">　　三、</w:t>
      </w:r>
      <w:r w:rsidR="000D4C99">
        <w:t>涉及當事人或第三人之隱私或業務秘密</w:t>
      </w:r>
      <w:r>
        <w:t>。</w:t>
      </w:r>
    </w:p>
    <w:p w14:paraId="76759B96" w14:textId="25CAE60A" w:rsidR="003B6E03" w:rsidRDefault="003B6E03" w:rsidP="00674FCC">
      <w:pPr>
        <w:ind w:left="142"/>
        <w:jc w:val="both"/>
      </w:pPr>
      <w:r>
        <w:t xml:space="preserve">　　四、</w:t>
      </w:r>
      <w:r w:rsidR="000D4C99">
        <w:t>危害他人生命、身體之虞</w:t>
      </w:r>
      <w:r>
        <w:t>。</w:t>
      </w:r>
    </w:p>
    <w:p w14:paraId="00DAE182" w14:textId="3F69A9C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17710E">
        <w:rPr>
          <w:color w:val="17365D"/>
        </w:rPr>
        <w:t>前項之開示，係指賦予辯護人得檢閱、抄錄、重製或攝影卷宗及證物；或被告得預納費用向檢察官請求付與卷宗及證物之影本；或經檢察官許可，得在確保卷宗及證物安全之前提下檢閱原本之機會。其收費標準及方法，由行政院</w:t>
      </w:r>
      <w:hyperlink r:id="rId30" w:history="1">
        <w:r w:rsidR="003B6E03" w:rsidRPr="007B225D">
          <w:rPr>
            <w:rStyle w:val="a3"/>
            <w:rFonts w:ascii="Times New Roman" w:hAnsi="Times New Roman"/>
          </w:rPr>
          <w:t>定之</w:t>
        </w:r>
      </w:hyperlink>
      <w:r w:rsidR="003B6E03">
        <w:t>。</w:t>
      </w:r>
    </w:p>
    <w:p w14:paraId="4B34A70F" w14:textId="1EF18FC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檢察官應於受理辯護人或被告之聲請後五日內開示之。如無法於五日內開示完畢者，得與辯護人或被告合意為適當之延展。</w:t>
      </w:r>
    </w:p>
    <w:p w14:paraId="61A85E63" w14:textId="77777777" w:rsidR="003B6E03" w:rsidRDefault="000D4C99" w:rsidP="00674FCC">
      <w:pPr>
        <w:pStyle w:val="2"/>
        <w:jc w:val="both"/>
      </w:pPr>
      <w:bookmarkStart w:id="65" w:name="a54"/>
      <w:bookmarkEnd w:id="65"/>
      <w:r>
        <w:t>第</w:t>
      </w:r>
      <w:r>
        <w:t>54</w:t>
      </w:r>
      <w:r w:rsidR="003B6E03">
        <w:t>條</w:t>
      </w:r>
    </w:p>
    <w:p w14:paraId="656D0AFB" w14:textId="2B0A68CC"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辯護人於檢察官依前條之規定開示證據後，應以準備程序書狀分別具體記載下列各款之事項，提出於法院，並將繕本送達於檢察官：</w:t>
      </w:r>
    </w:p>
    <w:p w14:paraId="69206F92" w14:textId="77777777" w:rsidR="003B6E03" w:rsidRDefault="000D4C99" w:rsidP="00674FCC">
      <w:pPr>
        <w:ind w:left="142"/>
        <w:jc w:val="both"/>
      </w:pPr>
      <w:r>
        <w:t xml:space="preserve">　　一、被告對檢察官起訴事實認罪與否之陳述；如否認犯罪，其答辯，及對起訴事實爭執或不爭執之陳述</w:t>
      </w:r>
      <w:r w:rsidR="003B6E03">
        <w:t>。</w:t>
      </w:r>
    </w:p>
    <w:p w14:paraId="6A52BF35" w14:textId="5741138F" w:rsidR="003B6E03" w:rsidRDefault="003B6E03" w:rsidP="00674FCC">
      <w:pPr>
        <w:ind w:left="142"/>
        <w:jc w:val="both"/>
      </w:pPr>
      <w:r>
        <w:t xml:space="preserve">　　二、</w:t>
      </w:r>
      <w:r w:rsidR="000D4C99">
        <w:t>對檢察官聲請調查證據之證據能力及有無調查必要之意見</w:t>
      </w:r>
      <w:r>
        <w:t>。</w:t>
      </w:r>
    </w:p>
    <w:p w14:paraId="795D470C" w14:textId="5108DD49" w:rsidR="003B6E03" w:rsidRDefault="003B6E03" w:rsidP="00674FCC">
      <w:pPr>
        <w:ind w:left="142"/>
        <w:jc w:val="both"/>
      </w:pPr>
      <w:r>
        <w:t xml:space="preserve">　　三、</w:t>
      </w:r>
      <w:r w:rsidR="000D4C99">
        <w:t>聲請調查之證據及其與待證事實之關係</w:t>
      </w:r>
      <w:r>
        <w:t>。</w:t>
      </w:r>
    </w:p>
    <w:p w14:paraId="1710EE72" w14:textId="7D7579CC" w:rsidR="003B6E03" w:rsidRDefault="003B6E03" w:rsidP="00674FCC">
      <w:pPr>
        <w:ind w:left="142"/>
        <w:jc w:val="both"/>
      </w:pPr>
      <w:r>
        <w:t xml:space="preserve">　　四、</w:t>
      </w:r>
      <w:r w:rsidR="000D4C99">
        <w:t>聲請傳喚之證人、鑑定人、通譯之姓名、性別、住居所及預期詰問所需之時間</w:t>
      </w:r>
      <w:r>
        <w:t>。</w:t>
      </w:r>
    </w:p>
    <w:p w14:paraId="1B12D46F" w14:textId="70233392" w:rsidR="003B6E03" w:rsidRDefault="003B6E03" w:rsidP="00674FCC">
      <w:pPr>
        <w:ind w:left="142"/>
        <w:jc w:val="both"/>
      </w:pPr>
      <w:r>
        <w:t xml:space="preserve">　　五、</w:t>
      </w:r>
      <w:r w:rsidR="000D4C99">
        <w:t>對檢察官所引應適用法條之意見</w:t>
      </w:r>
      <w:r>
        <w:t>。</w:t>
      </w:r>
    </w:p>
    <w:p w14:paraId="47BB1B8E" w14:textId="7C48B46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前項各款事項有補充或更正者，應另以準備程序書狀或當庭以言詞提出於法院</w:t>
      </w:r>
      <w:r w:rsidR="003B6E03">
        <w:t>。</w:t>
      </w:r>
    </w:p>
    <w:p w14:paraId="11ED0876" w14:textId="3DBDCC20"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第</w:t>
      </w:r>
      <w:hyperlink w:anchor="a52" w:history="1">
        <w:r w:rsidR="003B6E03" w:rsidRPr="003B65B6">
          <w:rPr>
            <w:rStyle w:val="a3"/>
            <w:rFonts w:ascii="Times New Roman" w:hAnsi="Times New Roman"/>
          </w:rPr>
          <w:t>五十二</w:t>
        </w:r>
      </w:hyperlink>
      <w:r w:rsidR="003B6E03">
        <w:t>條第三項至第五項規定，於前二項之情形準用之。</w:t>
      </w:r>
    </w:p>
    <w:p w14:paraId="316DA23F" w14:textId="59230C61"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C24145">
        <w:rPr>
          <w:color w:val="17365D"/>
        </w:rPr>
        <w:t>被告亦得提出關於第一項各款事項之書狀或陳述。於此情形，準用第</w:t>
      </w:r>
      <w:hyperlink w:anchor="a52" w:history="1">
        <w:r w:rsidR="003B65B6" w:rsidRPr="003B65B6">
          <w:rPr>
            <w:rStyle w:val="a3"/>
            <w:rFonts w:ascii="Times New Roman" w:hAnsi="Times New Roman"/>
          </w:rPr>
          <w:t>五十二</w:t>
        </w:r>
      </w:hyperlink>
      <w:r w:rsidR="000D4C99" w:rsidRPr="00C24145">
        <w:rPr>
          <w:color w:val="17365D"/>
        </w:rPr>
        <w:t>條第三項、第四項之規定。</w:t>
      </w:r>
    </w:p>
    <w:p w14:paraId="5CE9419A" w14:textId="77777777" w:rsidR="003B6E03" w:rsidRDefault="000D4C99" w:rsidP="00674FCC">
      <w:pPr>
        <w:pStyle w:val="2"/>
        <w:jc w:val="both"/>
      </w:pPr>
      <w:bookmarkStart w:id="66" w:name="a55"/>
      <w:bookmarkEnd w:id="66"/>
      <w:r>
        <w:t>第</w:t>
      </w:r>
      <w:r>
        <w:t>55</w:t>
      </w:r>
      <w:r w:rsidR="003B6E03">
        <w:t>條</w:t>
      </w:r>
    </w:p>
    <w:p w14:paraId="351CCD95" w14:textId="5898EB75"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辯護人或被告依前條第一項、第二項、第四項規定向法院聲請調查證據之情形，應即向檢察官開示下列項目：</w:t>
      </w:r>
    </w:p>
    <w:p w14:paraId="2FC5F48A" w14:textId="77777777" w:rsidR="003B6E03" w:rsidRDefault="000D4C99" w:rsidP="00674FCC">
      <w:pPr>
        <w:ind w:left="142"/>
        <w:jc w:val="both"/>
      </w:pPr>
      <w:r>
        <w:t xml:space="preserve">　　一、聲請調查之證據</w:t>
      </w:r>
      <w:r w:rsidR="003B6E03">
        <w:t>。</w:t>
      </w:r>
    </w:p>
    <w:p w14:paraId="4E61A614" w14:textId="3A64A38A" w:rsidR="003B6E03" w:rsidRDefault="003B6E03" w:rsidP="00674FCC">
      <w:pPr>
        <w:ind w:left="142"/>
        <w:jc w:val="both"/>
      </w:pPr>
      <w:r>
        <w:t xml:space="preserve">　　二、</w:t>
      </w:r>
      <w:r w:rsidR="000D4C99">
        <w:t>聲請傳喚之證人、鑑定人或通譯於審判期日前陳述之紀錄，無該紀錄者，記載預料其等於審判期日陳述要旨之書面</w:t>
      </w:r>
      <w:r>
        <w:t>。</w:t>
      </w:r>
    </w:p>
    <w:p w14:paraId="5D48181F" w14:textId="4458A675"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第</w:t>
      </w:r>
      <w:hyperlink w:anchor="a53" w:history="1">
        <w:r w:rsidR="000D4C99" w:rsidRPr="003B65B6">
          <w:rPr>
            <w:rStyle w:val="a3"/>
            <w:rFonts w:ascii="Times New Roman" w:hAnsi="Times New Roman"/>
          </w:rPr>
          <w:t>五十三</w:t>
        </w:r>
      </w:hyperlink>
      <w:r w:rsidR="000D4C99" w:rsidRPr="00C24145">
        <w:rPr>
          <w:color w:val="17365D"/>
        </w:rPr>
        <w:t>條第三項之規定，於前項情形準用之。</w:t>
      </w:r>
    </w:p>
    <w:p w14:paraId="50E68CB8" w14:textId="77777777" w:rsidR="003B6E03" w:rsidRDefault="000D4C99" w:rsidP="00674FCC">
      <w:pPr>
        <w:pStyle w:val="2"/>
        <w:jc w:val="both"/>
      </w:pPr>
      <w:bookmarkStart w:id="67" w:name="a56"/>
      <w:bookmarkEnd w:id="67"/>
      <w:r>
        <w:t>第</w:t>
      </w:r>
      <w:r>
        <w:t>56</w:t>
      </w:r>
      <w:r w:rsidR="003B6E03">
        <w:t>條</w:t>
      </w:r>
    </w:p>
    <w:p w14:paraId="41568F89" w14:textId="6D48381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檢察官於辯護人依前條之規定開示證據後，應表明對辯護人或被告聲請調查證據之證據能力及有無調查必要之意見</w:t>
      </w:r>
      <w:r w:rsidR="003B6E03">
        <w:t>。</w:t>
      </w:r>
    </w:p>
    <w:p w14:paraId="211D7CF6" w14:textId="5B63C34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前項事項有補充或更正者，應另提出於法院</w:t>
      </w:r>
      <w:r w:rsidR="003B6E03">
        <w:t>。</w:t>
      </w:r>
    </w:p>
    <w:p w14:paraId="6C7585A0" w14:textId="345B2F0B"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第</w:t>
      </w:r>
      <w:hyperlink w:anchor="a52" w:history="1">
        <w:r w:rsidR="003B65B6" w:rsidRPr="003B65B6">
          <w:rPr>
            <w:rStyle w:val="a3"/>
            <w:rFonts w:ascii="Times New Roman" w:hAnsi="Times New Roman"/>
          </w:rPr>
          <w:t>五十二</w:t>
        </w:r>
      </w:hyperlink>
      <w:r w:rsidR="000D4C99">
        <w:t>條第五項之規定，於前二項之情形準用之。</w:t>
      </w:r>
    </w:p>
    <w:p w14:paraId="49427428" w14:textId="77777777" w:rsidR="003B6E03" w:rsidRDefault="000D4C99" w:rsidP="00674FCC">
      <w:pPr>
        <w:pStyle w:val="2"/>
        <w:jc w:val="both"/>
      </w:pPr>
      <w:bookmarkStart w:id="68" w:name="a57"/>
      <w:bookmarkEnd w:id="68"/>
      <w:r>
        <w:t>第</w:t>
      </w:r>
      <w:r>
        <w:t>57</w:t>
      </w:r>
      <w:r w:rsidR="003B6E03">
        <w:t>條</w:t>
      </w:r>
    </w:p>
    <w:p w14:paraId="033A5C8C" w14:textId="1328DDD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檢察官、辯護人認他造違反第</w:t>
      </w:r>
      <w:hyperlink w:anchor="a53" w:history="1">
        <w:r w:rsidR="003B65B6" w:rsidRPr="003B65B6">
          <w:rPr>
            <w:rStyle w:val="a3"/>
            <w:rFonts w:ascii="Times New Roman" w:hAnsi="Times New Roman"/>
          </w:rPr>
          <w:t>五十三</w:t>
        </w:r>
      </w:hyperlink>
      <w:r w:rsidR="000D4C99">
        <w:t>條、第</w:t>
      </w:r>
      <w:hyperlink w:anchor="a55" w:history="1">
        <w:r w:rsidR="000D4C99" w:rsidRPr="003B65B6">
          <w:rPr>
            <w:rStyle w:val="a3"/>
            <w:rFonts w:ascii="Times New Roman" w:hAnsi="Times New Roman"/>
          </w:rPr>
          <w:t>五十五</w:t>
        </w:r>
      </w:hyperlink>
      <w:r w:rsidR="000D4C99">
        <w:t>條規定未開示應開示之證據者，得聲請法院裁定命開示證據</w:t>
      </w:r>
      <w:r w:rsidR="003B6E03">
        <w:t>。</w:t>
      </w:r>
    </w:p>
    <w:p w14:paraId="614F4A86" w14:textId="4235800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前項裁定，法院得指定開示之日期、方法或附加條件</w:t>
      </w:r>
      <w:r w:rsidR="003B6E03">
        <w:t>。</w:t>
      </w:r>
    </w:p>
    <w:p w14:paraId="7F2729F0" w14:textId="7C79DC00" w:rsidR="003B6E03" w:rsidRDefault="005560B7" w:rsidP="00674FCC">
      <w:pPr>
        <w:ind w:left="142"/>
        <w:jc w:val="both"/>
      </w:pPr>
      <w:r w:rsidRPr="005560B7">
        <w:rPr>
          <w:rFonts w:asciiTheme="minorHAnsi" w:hAnsiTheme="minorHAnsi"/>
          <w:color w:val="404040" w:themeColor="text1" w:themeTint="BF"/>
          <w:sz w:val="18"/>
        </w:rPr>
        <w:lastRenderedPageBreak/>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法院為第一項裁定前，應先聽取他造意見；於認有必要時，得命檢察官向法院提出證據清冊，或命當事人、辯護人向法院提出該證據，並不得使任何人檢閱、抄錄、重製或攝影之。</w:t>
      </w:r>
    </w:p>
    <w:p w14:paraId="488F5C67" w14:textId="33CD79E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24145">
        <w:rPr>
          <w:color w:val="17365D"/>
        </w:rPr>
        <w:t>關於第一項裁定，得抗告。法院裁定命開示證據者，抗告中，停止執行</w:t>
      </w:r>
      <w:r w:rsidR="003B6E03">
        <w:t>。</w:t>
      </w:r>
    </w:p>
    <w:p w14:paraId="1B4E64F0" w14:textId="06517A93"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0D4C99">
        <w:t>抗告法院應即時裁定，認為抗告有理由者，應自為裁定。</w:t>
      </w:r>
    </w:p>
    <w:p w14:paraId="63BE1FCA" w14:textId="77777777" w:rsidR="003B6E03" w:rsidRDefault="000D4C99" w:rsidP="00674FCC">
      <w:pPr>
        <w:pStyle w:val="2"/>
        <w:jc w:val="both"/>
      </w:pPr>
      <w:bookmarkStart w:id="69" w:name="a58"/>
      <w:bookmarkEnd w:id="69"/>
      <w:r>
        <w:t>第</w:t>
      </w:r>
      <w:r>
        <w:t>58</w:t>
      </w:r>
      <w:r w:rsidR="003B6E03">
        <w:t>條</w:t>
      </w:r>
    </w:p>
    <w:p w14:paraId="22CF41A7" w14:textId="4436059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檢察官或辯護人未履行前條第一項之開示命令者，法院得以裁定駁回其調查證據之聲請，或命檢察官、辯護人立即開示全部持有或保管之證據。</w:t>
      </w:r>
    </w:p>
    <w:p w14:paraId="6B3FDA38" w14:textId="77777777" w:rsidR="003B6E03" w:rsidRDefault="000D4C99" w:rsidP="00674FCC">
      <w:pPr>
        <w:pStyle w:val="2"/>
        <w:jc w:val="both"/>
      </w:pPr>
      <w:bookmarkStart w:id="70" w:name="a59"/>
      <w:bookmarkEnd w:id="70"/>
      <w:r>
        <w:t>第</w:t>
      </w:r>
      <w:r>
        <w:t>59</w:t>
      </w:r>
      <w:r w:rsidR="003B6E03">
        <w:t>條</w:t>
      </w:r>
    </w:p>
    <w:p w14:paraId="6D2D3DA8" w14:textId="6F3D55DF"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法院為前條之裁定前，應審酌其違反義務之態樣、原因及所造成之不利益等情事，審慎為之。</w:t>
      </w:r>
    </w:p>
    <w:p w14:paraId="6B843F74" w14:textId="77777777" w:rsidR="003B6E03" w:rsidRDefault="000D4C99" w:rsidP="00674FCC">
      <w:pPr>
        <w:pStyle w:val="2"/>
        <w:jc w:val="both"/>
      </w:pPr>
      <w:bookmarkStart w:id="71" w:name="a60"/>
      <w:bookmarkEnd w:id="71"/>
      <w:r>
        <w:t>第</w:t>
      </w:r>
      <w:r>
        <w:t>60</w:t>
      </w:r>
      <w:r w:rsidR="003B6E03">
        <w:t>條</w:t>
      </w:r>
    </w:p>
    <w:p w14:paraId="7FB4C6FF" w14:textId="6907685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持有第</w:t>
      </w:r>
      <w:hyperlink w:anchor="a53" w:history="1">
        <w:r w:rsidR="003B65B6" w:rsidRPr="003B65B6">
          <w:rPr>
            <w:rStyle w:val="a3"/>
            <w:rFonts w:ascii="Times New Roman" w:hAnsi="Times New Roman"/>
          </w:rPr>
          <w:t>五十三</w:t>
        </w:r>
      </w:hyperlink>
      <w:r w:rsidR="000D4C99">
        <w:t>條之卷宗及證物內容者，不得就該內容為非正當目的之使用</w:t>
      </w:r>
      <w:r w:rsidR="003B6E03">
        <w:t>。</w:t>
      </w:r>
    </w:p>
    <w:p w14:paraId="40EE730C" w14:textId="76793FD5"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違反前項規定者，處一年以下有期徒刑、拘役或科新臺幣十五萬元以下罰金。</w:t>
      </w:r>
    </w:p>
    <w:p w14:paraId="78CFF06E" w14:textId="77777777" w:rsidR="003B6E03" w:rsidRDefault="000D4C99" w:rsidP="00674FCC">
      <w:pPr>
        <w:pStyle w:val="2"/>
        <w:jc w:val="both"/>
      </w:pPr>
      <w:bookmarkStart w:id="72" w:name="a61"/>
      <w:bookmarkEnd w:id="72"/>
      <w:r>
        <w:t>第</w:t>
      </w:r>
      <w:r>
        <w:t>61</w:t>
      </w:r>
      <w:r w:rsidR="003B6E03">
        <w:t>條</w:t>
      </w:r>
    </w:p>
    <w:p w14:paraId="5BB8FF96" w14:textId="30848B0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告訴代理人或訴訟參與人之代理人為律師者，於起訴後得向檢察官請求檢閱卷宗及證物並得抄錄、重製或攝影</w:t>
      </w:r>
      <w:r w:rsidR="003B6E03">
        <w:t>。</w:t>
      </w:r>
    </w:p>
    <w:p w14:paraId="2232E80C" w14:textId="0BD88AD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無代理人或代理人為非律師之訴訟參與人於起訴後，得預納費用向檢察官請求付與卷宗及證物之影本</w:t>
      </w:r>
      <w:r w:rsidR="003B6E03">
        <w:t>。</w:t>
      </w:r>
    </w:p>
    <w:p w14:paraId="513B977B" w14:textId="60D68C6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第一項及第二項卷宗及證物之內容與被告被訴事實無關或足以妨害另案之偵查，或涉及當事人或第三人之隱私或業務秘密，或有危害他人生命、身體之虞者，檢察官得限制之，並應同時以書面告知理由。</w:t>
      </w:r>
    </w:p>
    <w:p w14:paraId="0CD89873" w14:textId="2E6A17D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24145">
        <w:rPr>
          <w:color w:val="17365D"/>
        </w:rPr>
        <w:t>對於檢察官依前項所為之限制不服者，告訴代理人、訴訟參與人或其代理人得聲請法院撤銷或變更之。但代理人所為之聲請，不得與告訴人或訴訟參與人明示之意思相反</w:t>
      </w:r>
      <w:r w:rsidR="003B6E03">
        <w:t>。</w:t>
      </w:r>
    </w:p>
    <w:p w14:paraId="710739BA" w14:textId="3BD0194E"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0D4C99">
        <w:t>法院就前項之聲請所為裁定，不得抗告。</w:t>
      </w:r>
    </w:p>
    <w:p w14:paraId="660D3EA7" w14:textId="77777777" w:rsidR="003B6E03" w:rsidRDefault="000D4C99" w:rsidP="00674FCC">
      <w:pPr>
        <w:pStyle w:val="2"/>
        <w:jc w:val="both"/>
      </w:pPr>
      <w:bookmarkStart w:id="73" w:name="a62"/>
      <w:bookmarkEnd w:id="73"/>
      <w:r>
        <w:t>第</w:t>
      </w:r>
      <w:r>
        <w:t>62</w:t>
      </w:r>
      <w:r w:rsidR="003B6E03">
        <w:t>條</w:t>
      </w:r>
    </w:p>
    <w:p w14:paraId="60999EE7" w14:textId="56807C7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法院應於準備程序終結前，就聲請或職權調查證據之證據能力有無為裁定。但就證據能力之有無，有於審判期日調查之必要者，不在此限</w:t>
      </w:r>
      <w:r w:rsidR="003B6E03">
        <w:t>。</w:t>
      </w:r>
    </w:p>
    <w:p w14:paraId="4BAFA247" w14:textId="46E2A0A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當事人或辯護人聲請調查之證據，法院認為不必要者，應於準備程序終結前以裁定駁回之</w:t>
      </w:r>
      <w:r w:rsidR="003B6E03">
        <w:t>。</w:t>
      </w:r>
    </w:p>
    <w:p w14:paraId="41B50DFC" w14:textId="139C497F"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下列情形，應認為不必要：</w:t>
      </w:r>
    </w:p>
    <w:p w14:paraId="59E664EC" w14:textId="77777777" w:rsidR="003B6E03" w:rsidRDefault="003B6E03" w:rsidP="00674FCC">
      <w:pPr>
        <w:ind w:left="142"/>
        <w:jc w:val="both"/>
      </w:pPr>
      <w:r>
        <w:t xml:space="preserve">　　一、不能調查。</w:t>
      </w:r>
    </w:p>
    <w:p w14:paraId="76BA8C8B" w14:textId="77777777" w:rsidR="003B6E03" w:rsidRDefault="003B6E03" w:rsidP="00674FCC">
      <w:pPr>
        <w:ind w:left="142"/>
        <w:jc w:val="both"/>
      </w:pPr>
      <w:r>
        <w:t xml:space="preserve">　　二、與待證事實無重要關係。</w:t>
      </w:r>
    </w:p>
    <w:p w14:paraId="6DAEB664" w14:textId="77777777" w:rsidR="003B6E03" w:rsidRDefault="003B6E03" w:rsidP="00674FCC">
      <w:pPr>
        <w:ind w:left="142"/>
        <w:jc w:val="both"/>
      </w:pPr>
      <w:r>
        <w:t xml:space="preserve">　　三、待證事實已臻明瞭無再調查之必要。</w:t>
      </w:r>
    </w:p>
    <w:p w14:paraId="14B2B06D" w14:textId="62980AF2" w:rsidR="003B6E03" w:rsidRDefault="003B6E03" w:rsidP="00674FCC">
      <w:pPr>
        <w:ind w:left="142"/>
        <w:jc w:val="both"/>
      </w:pPr>
      <w:r>
        <w:t xml:space="preserve">　　四、同一證據再行聲請。</w:t>
      </w:r>
    </w:p>
    <w:p w14:paraId="439A63BE" w14:textId="6D99AF9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24145">
        <w:rPr>
          <w:color w:val="17365D"/>
        </w:rPr>
        <w:t>法院於第一項、第二項裁定前，得為必要之調查。但非有必要者，不得命提出所聲請調查之證據</w:t>
      </w:r>
      <w:r w:rsidR="003B6E03">
        <w:t>。</w:t>
      </w:r>
    </w:p>
    <w:p w14:paraId="09B90D64" w14:textId="4387C73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3B6E03">
        <w:t>法院依第一項、第二項規定為裁定後，因所憑之基礎事實改變，致應為不同之裁定者，應即重新裁定；就聲請調查之證據，嗣認為不必要者，亦同。</w:t>
      </w:r>
    </w:p>
    <w:p w14:paraId="29FAE1FA" w14:textId="591A987D"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6</w:t>
      </w:r>
      <w:r w:rsidR="003B6E03" w:rsidRPr="003B6E03">
        <w:rPr>
          <w:rFonts w:asciiTheme="minorHAnsi" w:hAnsiTheme="minorHAnsi"/>
          <w:color w:val="404040" w:themeColor="text1" w:themeTint="BF"/>
          <w:sz w:val="18"/>
        </w:rPr>
        <w:t>﹞</w:t>
      </w:r>
      <w:r w:rsidR="003B6E03" w:rsidRPr="00C24145">
        <w:rPr>
          <w:color w:val="17365D"/>
        </w:rPr>
        <w:t>審判期日始聲請或職權調查之證據，法院應於調查該項證據前，就其證據能力有無為裁定；就聲請調查之證據認為不必要者，亦同</w:t>
      </w:r>
      <w:r w:rsidR="003B6E03">
        <w:t>。</w:t>
      </w:r>
    </w:p>
    <w:p w14:paraId="75538DD6" w14:textId="29EB923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7</w:t>
      </w:r>
      <w:r w:rsidR="003B6E03" w:rsidRPr="003B6E03">
        <w:rPr>
          <w:rFonts w:asciiTheme="minorHAnsi" w:hAnsiTheme="minorHAnsi"/>
          <w:color w:val="404040" w:themeColor="text1" w:themeTint="BF"/>
          <w:sz w:val="18"/>
        </w:rPr>
        <w:t>﹞</w:t>
      </w:r>
      <w:r w:rsidR="003B6E03">
        <w:t>證據經法院裁定無證據能力或不必要者，不得於審判期日主張或調查之。</w:t>
      </w:r>
    </w:p>
    <w:p w14:paraId="25C43755" w14:textId="4105B88B"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8</w:t>
      </w:r>
      <w:r w:rsidR="003B6E03" w:rsidRPr="003B6E03">
        <w:rPr>
          <w:rFonts w:asciiTheme="minorHAnsi" w:hAnsiTheme="minorHAnsi"/>
          <w:color w:val="404040" w:themeColor="text1" w:themeTint="BF"/>
          <w:sz w:val="18"/>
        </w:rPr>
        <w:t>﹞</w:t>
      </w:r>
      <w:r w:rsidR="000D4C99" w:rsidRPr="00C24145">
        <w:rPr>
          <w:color w:val="17365D"/>
        </w:rPr>
        <w:t>第一項、第二項、第五項及第六項之裁定，不得抗告。</w:t>
      </w:r>
    </w:p>
    <w:p w14:paraId="5B5FE49C" w14:textId="77777777" w:rsidR="003B6E03" w:rsidRDefault="000D4C99" w:rsidP="00674FCC">
      <w:pPr>
        <w:pStyle w:val="2"/>
        <w:jc w:val="both"/>
      </w:pPr>
      <w:bookmarkStart w:id="74" w:name="a63"/>
      <w:bookmarkEnd w:id="74"/>
      <w:r>
        <w:lastRenderedPageBreak/>
        <w:t>第</w:t>
      </w:r>
      <w:r>
        <w:t>63</w:t>
      </w:r>
      <w:r w:rsidR="003B6E03">
        <w:t>條</w:t>
      </w:r>
    </w:p>
    <w:p w14:paraId="54EC7CB0" w14:textId="027FB9F0"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法院於第</w:t>
      </w:r>
      <w:hyperlink w:anchor="a47" w:history="1">
        <w:r w:rsidR="000D4C99" w:rsidRPr="003B65B6">
          <w:rPr>
            <w:rStyle w:val="a3"/>
            <w:rFonts w:ascii="Times New Roman" w:hAnsi="Times New Roman"/>
          </w:rPr>
          <w:t>四十七</w:t>
        </w:r>
      </w:hyperlink>
      <w:r w:rsidR="000D4C99">
        <w:t>條第二項各款事項處理完畢後，應與當事人及辯護人確認整理結果及審理計畫內容，並宣示準備程序終結</w:t>
      </w:r>
      <w:r w:rsidR="003B6E03">
        <w:t>。</w:t>
      </w:r>
    </w:p>
    <w:p w14:paraId="49F24D94" w14:textId="7E8E4730"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法院認有必要者，得裁定命再開已終結之準備程序。</w:t>
      </w:r>
    </w:p>
    <w:p w14:paraId="27C163FB" w14:textId="77777777" w:rsidR="003B6E03" w:rsidRDefault="000D4C99" w:rsidP="00674FCC">
      <w:pPr>
        <w:pStyle w:val="2"/>
        <w:jc w:val="both"/>
      </w:pPr>
      <w:bookmarkStart w:id="75" w:name="a64"/>
      <w:bookmarkEnd w:id="75"/>
      <w:r>
        <w:t>第</w:t>
      </w:r>
      <w:r>
        <w:t>64</w:t>
      </w:r>
      <w:r w:rsidR="003B6E03">
        <w:t>條</w:t>
      </w:r>
    </w:p>
    <w:p w14:paraId="56C1D284" w14:textId="4F6F4D84"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當事人、辯護人於準備程序終結後不得聲請調查新證據。但有下列情形之一者，不在此限：</w:t>
      </w:r>
    </w:p>
    <w:p w14:paraId="31091F55" w14:textId="77777777" w:rsidR="003B6E03" w:rsidRDefault="000D4C99" w:rsidP="00674FCC">
      <w:pPr>
        <w:ind w:left="142"/>
        <w:jc w:val="both"/>
      </w:pPr>
      <w:r>
        <w:t xml:space="preserve">　　一、當事人、辯護人均同意，且法院認為適當者</w:t>
      </w:r>
      <w:r w:rsidR="003B6E03">
        <w:t>。</w:t>
      </w:r>
    </w:p>
    <w:p w14:paraId="2782004D" w14:textId="78234D5B" w:rsidR="003B6E03" w:rsidRDefault="003B6E03" w:rsidP="00674FCC">
      <w:pPr>
        <w:ind w:left="142"/>
        <w:jc w:val="both"/>
      </w:pPr>
      <w:r>
        <w:t xml:space="preserve">　　二、</w:t>
      </w:r>
      <w:r w:rsidR="000D4C99">
        <w:t>於準備程序終結後始取得證據或知悉其存在者</w:t>
      </w:r>
      <w:r>
        <w:t>。</w:t>
      </w:r>
    </w:p>
    <w:p w14:paraId="386C07FC" w14:textId="4B2F2194" w:rsidR="003B6E03" w:rsidRDefault="003B6E03" w:rsidP="00674FCC">
      <w:pPr>
        <w:ind w:left="142"/>
        <w:jc w:val="both"/>
      </w:pPr>
      <w:r>
        <w:t xml:space="preserve">　　三、</w:t>
      </w:r>
      <w:r w:rsidR="000D4C99">
        <w:t>不甚妨害訴訟程序之進行者</w:t>
      </w:r>
      <w:r>
        <w:t>。</w:t>
      </w:r>
    </w:p>
    <w:p w14:paraId="1BB3FC8A" w14:textId="237492A3" w:rsidR="003B6E03" w:rsidRDefault="003B6E03" w:rsidP="00674FCC">
      <w:pPr>
        <w:ind w:left="142"/>
        <w:jc w:val="both"/>
      </w:pPr>
      <w:r>
        <w:t xml:space="preserve">　　四、</w:t>
      </w:r>
      <w:r w:rsidR="000D4C99">
        <w:t>為爭執審判中證人證述內容而有必要者</w:t>
      </w:r>
      <w:r>
        <w:t>。</w:t>
      </w:r>
    </w:p>
    <w:p w14:paraId="7660EA03" w14:textId="22AAAAF8" w:rsidR="003B6E03" w:rsidRDefault="003B6E03" w:rsidP="00674FCC">
      <w:pPr>
        <w:ind w:left="142"/>
        <w:jc w:val="both"/>
      </w:pPr>
      <w:r>
        <w:t xml:space="preserve">　　五、</w:t>
      </w:r>
      <w:r w:rsidR="000D4C99">
        <w:t>非因過失，未能於準備程序終結前聲請者</w:t>
      </w:r>
      <w:r>
        <w:t>。</w:t>
      </w:r>
    </w:p>
    <w:p w14:paraId="2BB6CEDA" w14:textId="2EE3B1AA" w:rsidR="003B6E03" w:rsidRDefault="003B6E03" w:rsidP="00674FCC">
      <w:pPr>
        <w:ind w:left="142"/>
        <w:jc w:val="both"/>
      </w:pPr>
      <w:r>
        <w:t xml:space="preserve">　　六、</w:t>
      </w:r>
      <w:r w:rsidR="000D4C99">
        <w:t>如不許其提出顯失公平者</w:t>
      </w:r>
      <w:r>
        <w:t>。</w:t>
      </w:r>
    </w:p>
    <w:p w14:paraId="5D5630C6" w14:textId="4E89687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前項但書各款事由，應由聲請調查證據之人釋明之</w:t>
      </w:r>
      <w:r w:rsidR="003B6E03">
        <w:t>。</w:t>
      </w:r>
    </w:p>
    <w:p w14:paraId="57BE24F4" w14:textId="5D1E067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違反第一項之規定者，法院應駁回之</w:t>
      </w:r>
      <w:r w:rsidR="003B6E03">
        <w:t>。</w:t>
      </w:r>
    </w:p>
    <w:p w14:paraId="69F603DA" w14:textId="03F3ED6A" w:rsidR="00C24145" w:rsidRDefault="003B6E03" w:rsidP="00674FCC">
      <w:pPr>
        <w:ind w:left="142"/>
        <w:jc w:val="both"/>
      </w:pPr>
      <w:r>
        <w:t xml:space="preserve">　　　　</w:t>
      </w:r>
      <w:r w:rsidR="00032FAC" w:rsidRPr="00A22F73">
        <w:rPr>
          <w:rFonts w:ascii="Arial Unicode MS" w:hAnsi="Arial Unicode MS"/>
          <w:color w:val="808000"/>
          <w:sz w:val="18"/>
        </w:rPr>
        <w:t xml:space="preserve">　　　　　　　　　　　　　　　　　　　　　　　　　　　　　　　　　　　　　　　　　　　　</w:t>
      </w:r>
      <w:hyperlink w:anchor="a章節索引" w:history="1">
        <w:r w:rsidR="00032FAC" w:rsidRPr="00A22F73">
          <w:rPr>
            <w:rStyle w:val="a3"/>
            <w:rFonts w:ascii="Arial Unicode MS" w:hAnsi="Arial Unicode MS"/>
            <w:sz w:val="18"/>
          </w:rPr>
          <w:t>回索引</w:t>
        </w:r>
      </w:hyperlink>
      <w:r w:rsidR="00032FAC" w:rsidRPr="00A22F73">
        <w:rPr>
          <w:rFonts w:ascii="Arial Unicode MS" w:hAnsi="Arial Unicode MS" w:hint="eastAsia"/>
          <w:color w:val="808000"/>
          <w:sz w:val="18"/>
        </w:rPr>
        <w:t>〉〉</w:t>
      </w:r>
    </w:p>
    <w:p w14:paraId="3FD728BC" w14:textId="77777777" w:rsidR="000D4C99" w:rsidRDefault="000D4C99" w:rsidP="00674FCC">
      <w:pPr>
        <w:pStyle w:val="1"/>
        <w:jc w:val="both"/>
      </w:pPr>
      <w:bookmarkStart w:id="76" w:name="_第四章__審理程序_3"/>
      <w:bookmarkEnd w:id="76"/>
      <w:r>
        <w:t>第四章　　審理程序　　第四節　審判期日</w:t>
      </w:r>
    </w:p>
    <w:p w14:paraId="02284100" w14:textId="77777777" w:rsidR="003B6E03" w:rsidRDefault="000D4C99" w:rsidP="00674FCC">
      <w:pPr>
        <w:pStyle w:val="2"/>
        <w:jc w:val="both"/>
      </w:pPr>
      <w:bookmarkStart w:id="77" w:name="a65"/>
      <w:bookmarkEnd w:id="77"/>
      <w:r>
        <w:t>第</w:t>
      </w:r>
      <w:r>
        <w:t>65</w:t>
      </w:r>
      <w:r w:rsidR="003B6E03">
        <w:t>條</w:t>
      </w:r>
    </w:p>
    <w:p w14:paraId="4B5A7BE3" w14:textId="495451F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國民法官、備位國民法官於第一次審判期日前，應行宣誓</w:t>
      </w:r>
      <w:r w:rsidR="003B6E03">
        <w:t>。</w:t>
      </w:r>
    </w:p>
    <w:p w14:paraId="65C95A2E" w14:textId="3AD719D2"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備位國民法官經遞補為國民法官者，應另行宣誓</w:t>
      </w:r>
      <w:r w:rsidR="003B6E03">
        <w:t>。</w:t>
      </w:r>
    </w:p>
    <w:p w14:paraId="617BB910" w14:textId="3114B01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前二項宣誓之程序、誓詞內容及筆錄製作等事項之</w:t>
      </w:r>
      <w:hyperlink r:id="rId31" w:history="1">
        <w:r w:rsidR="000D4C99" w:rsidRPr="006D68DB">
          <w:rPr>
            <w:rStyle w:val="a3"/>
            <w:rFonts w:ascii="Times New Roman" w:hAnsi="Times New Roman"/>
          </w:rPr>
          <w:t>辦法</w:t>
        </w:r>
      </w:hyperlink>
      <w:r w:rsidR="000D4C99">
        <w:t>，由司法院定之。</w:t>
      </w:r>
    </w:p>
    <w:p w14:paraId="47B4C50C" w14:textId="77777777" w:rsidR="003B6E03" w:rsidRDefault="000D4C99" w:rsidP="00674FCC">
      <w:pPr>
        <w:pStyle w:val="2"/>
        <w:jc w:val="both"/>
      </w:pPr>
      <w:bookmarkStart w:id="78" w:name="a66"/>
      <w:bookmarkEnd w:id="78"/>
      <w:r>
        <w:t>第</w:t>
      </w:r>
      <w:r>
        <w:t>66</w:t>
      </w:r>
      <w:r w:rsidR="003B6E03">
        <w:t>條</w:t>
      </w:r>
    </w:p>
    <w:p w14:paraId="3D4E4434" w14:textId="3B783CA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審判長於前條第一項之程序後，應向國民法官、備位國民法官說明下列事項：</w:t>
      </w:r>
    </w:p>
    <w:p w14:paraId="6B1D368E" w14:textId="77777777" w:rsidR="003B6E03" w:rsidRDefault="000D4C99" w:rsidP="00674FCC">
      <w:pPr>
        <w:ind w:left="142"/>
        <w:jc w:val="both"/>
      </w:pPr>
      <w:r>
        <w:t xml:space="preserve">　　一、國民參與審判之程序</w:t>
      </w:r>
      <w:r w:rsidR="003B6E03">
        <w:t>。</w:t>
      </w:r>
    </w:p>
    <w:p w14:paraId="3F6860D5" w14:textId="23630E75" w:rsidR="003B6E03" w:rsidRDefault="003B6E03" w:rsidP="00674FCC">
      <w:pPr>
        <w:ind w:left="142"/>
        <w:jc w:val="both"/>
      </w:pPr>
      <w:r>
        <w:t xml:space="preserve">　　二、</w:t>
      </w:r>
      <w:r w:rsidR="000D4C99">
        <w:t>國民法官、備位國民法官之權限、義務、違背義務之處罰</w:t>
      </w:r>
      <w:r>
        <w:t>。</w:t>
      </w:r>
    </w:p>
    <w:p w14:paraId="5468B518" w14:textId="7055EA14" w:rsidR="003B6E03" w:rsidRDefault="003B6E03" w:rsidP="00674FCC">
      <w:pPr>
        <w:ind w:left="142"/>
        <w:jc w:val="both"/>
      </w:pPr>
      <w:r>
        <w:t xml:space="preserve">　　三、</w:t>
      </w:r>
      <w:r w:rsidR="000D4C99">
        <w:t>刑事審判之基本原則</w:t>
      </w:r>
      <w:r>
        <w:t>。</w:t>
      </w:r>
    </w:p>
    <w:p w14:paraId="29D9F25E" w14:textId="3D198B0B" w:rsidR="003B6E03" w:rsidRDefault="003B6E03" w:rsidP="00674FCC">
      <w:pPr>
        <w:ind w:left="142"/>
        <w:jc w:val="both"/>
      </w:pPr>
      <w:r>
        <w:t xml:space="preserve">　　四、</w:t>
      </w:r>
      <w:r w:rsidR="000D4C99">
        <w:t>被告被訴罪名之構成要件及法令解釋</w:t>
      </w:r>
      <w:r>
        <w:t>。</w:t>
      </w:r>
    </w:p>
    <w:p w14:paraId="538334C4" w14:textId="474430DB" w:rsidR="003B6E03" w:rsidRDefault="003B6E03" w:rsidP="00674FCC">
      <w:pPr>
        <w:ind w:left="142"/>
        <w:jc w:val="both"/>
      </w:pPr>
      <w:r>
        <w:t xml:space="preserve">　　五、</w:t>
      </w:r>
      <w:r w:rsidR="000D4C99">
        <w:t>審判期日預估所需之時間</w:t>
      </w:r>
      <w:r>
        <w:t>。</w:t>
      </w:r>
    </w:p>
    <w:p w14:paraId="26250C1C" w14:textId="2043DAE0" w:rsidR="003B6E03" w:rsidRDefault="003B6E03" w:rsidP="00674FCC">
      <w:pPr>
        <w:ind w:left="142"/>
        <w:jc w:val="both"/>
      </w:pPr>
      <w:r>
        <w:t xml:space="preserve">　　六、</w:t>
      </w:r>
      <w:r w:rsidR="000D4C99">
        <w:t>其他應注意之事項</w:t>
      </w:r>
      <w:r>
        <w:t>。</w:t>
      </w:r>
    </w:p>
    <w:p w14:paraId="21129F2C" w14:textId="6190C833"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審判期日之訴訟程序進行中，國民法官、備位國民法官就前項所定事項有疑惑者，得請求審判長釋疑。</w:t>
      </w:r>
    </w:p>
    <w:p w14:paraId="53D1F621" w14:textId="77777777" w:rsidR="003B6E03" w:rsidRDefault="000D4C99" w:rsidP="00674FCC">
      <w:pPr>
        <w:pStyle w:val="2"/>
        <w:jc w:val="both"/>
      </w:pPr>
      <w:bookmarkStart w:id="79" w:name="a67"/>
      <w:bookmarkEnd w:id="79"/>
      <w:r>
        <w:t>第</w:t>
      </w:r>
      <w:r>
        <w:t>67</w:t>
      </w:r>
      <w:r w:rsidR="003B6E03">
        <w:t>條</w:t>
      </w:r>
    </w:p>
    <w:p w14:paraId="274A2AC6" w14:textId="37EDF843"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審判期日，國民法官有缺額者，不得審判。</w:t>
      </w:r>
    </w:p>
    <w:p w14:paraId="6AC3D23E" w14:textId="77777777" w:rsidR="003B6E03" w:rsidRDefault="000D4C99" w:rsidP="00674FCC">
      <w:pPr>
        <w:pStyle w:val="2"/>
        <w:jc w:val="both"/>
      </w:pPr>
      <w:bookmarkStart w:id="80" w:name="a68"/>
      <w:bookmarkEnd w:id="80"/>
      <w:r>
        <w:t>第</w:t>
      </w:r>
      <w:r>
        <w:t>68</w:t>
      </w:r>
      <w:r w:rsidR="003B6E03">
        <w:t>條</w:t>
      </w:r>
    </w:p>
    <w:p w14:paraId="3511365C" w14:textId="79578BF3"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審判期日，除有特別情形外，應連日接續開庭。</w:t>
      </w:r>
    </w:p>
    <w:p w14:paraId="1E73E19F" w14:textId="77777777" w:rsidR="003B6E03" w:rsidRDefault="000D4C99" w:rsidP="00674FCC">
      <w:pPr>
        <w:pStyle w:val="2"/>
        <w:jc w:val="both"/>
      </w:pPr>
      <w:bookmarkStart w:id="81" w:name="a69"/>
      <w:bookmarkEnd w:id="81"/>
      <w:r>
        <w:t>第</w:t>
      </w:r>
      <w:r>
        <w:t>69</w:t>
      </w:r>
      <w:r w:rsidR="003B6E03">
        <w:t>條</w:t>
      </w:r>
    </w:p>
    <w:p w14:paraId="1C81D02F" w14:textId="6DCDE99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關於證據能力、證據調查必要性與訴訟程序之裁定及法令之解釋，專由法官合議決定之。於決定前認有必要者，得聽取檢察官、辯護人、國民法官及備位國民法官之意見</w:t>
      </w:r>
      <w:r w:rsidR="003B6E03">
        <w:t>。</w:t>
      </w:r>
    </w:p>
    <w:p w14:paraId="0D32C8BD" w14:textId="2ED7468E"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國民法官、備位國民法官對於前項之決定有疑惑者，得請求審判長釋疑。</w:t>
      </w:r>
    </w:p>
    <w:p w14:paraId="518ABB32" w14:textId="77777777" w:rsidR="003B6E03" w:rsidRDefault="000D4C99" w:rsidP="00674FCC">
      <w:pPr>
        <w:pStyle w:val="2"/>
        <w:jc w:val="both"/>
      </w:pPr>
      <w:bookmarkStart w:id="82" w:name="a70"/>
      <w:bookmarkEnd w:id="82"/>
      <w:r>
        <w:lastRenderedPageBreak/>
        <w:t>第</w:t>
      </w:r>
      <w:r>
        <w:t>70</w:t>
      </w:r>
      <w:r w:rsidR="003B6E03">
        <w:t>條</w:t>
      </w:r>
    </w:p>
    <w:p w14:paraId="0446570E" w14:textId="76C9BE04"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檢察官於刑事訴訟法第</w:t>
      </w:r>
      <w:hyperlink r:id="rId32" w:anchor="a288" w:history="1">
        <w:r w:rsidR="000D4C99" w:rsidRPr="00B323BA">
          <w:rPr>
            <w:rStyle w:val="a3"/>
            <w:rFonts w:ascii="Times New Roman" w:hAnsi="Times New Roman"/>
          </w:rPr>
          <w:t>二百八十八</w:t>
        </w:r>
      </w:hyperlink>
      <w:r w:rsidR="000D4C99">
        <w:t>條第一項之調查證據程序前，應向國民法官法庭說明經依第</w:t>
      </w:r>
      <w:hyperlink w:anchor="a47" w:history="1">
        <w:r w:rsidR="000D4C99" w:rsidRPr="003B65B6">
          <w:rPr>
            <w:rStyle w:val="a3"/>
            <w:rFonts w:ascii="Times New Roman" w:hAnsi="Times New Roman"/>
          </w:rPr>
          <w:t>四十七</w:t>
        </w:r>
      </w:hyperlink>
      <w:r w:rsidR="000D4C99">
        <w:t>條第二項整理之下列事項：</w:t>
      </w:r>
    </w:p>
    <w:p w14:paraId="35B16645" w14:textId="77777777" w:rsidR="003B6E03" w:rsidRDefault="000D4C99" w:rsidP="00674FCC">
      <w:pPr>
        <w:ind w:left="142"/>
        <w:jc w:val="both"/>
      </w:pPr>
      <w:r>
        <w:t xml:space="preserve">　　一、待證事實</w:t>
      </w:r>
      <w:r w:rsidR="003B6E03">
        <w:t>。</w:t>
      </w:r>
    </w:p>
    <w:p w14:paraId="03AD5E7C" w14:textId="264BDE70" w:rsidR="003B6E03" w:rsidRDefault="003B6E03" w:rsidP="00674FCC">
      <w:pPr>
        <w:ind w:left="142"/>
        <w:jc w:val="both"/>
      </w:pPr>
      <w:r>
        <w:t xml:space="preserve">　　二、</w:t>
      </w:r>
      <w:r w:rsidR="000D4C99">
        <w:t>聲請調查證據之範圍、次序及方法</w:t>
      </w:r>
      <w:r>
        <w:t>。</w:t>
      </w:r>
    </w:p>
    <w:p w14:paraId="3A2C2744" w14:textId="178D76F6" w:rsidR="003B6E03" w:rsidRDefault="003B6E03" w:rsidP="00674FCC">
      <w:pPr>
        <w:ind w:left="142"/>
        <w:jc w:val="both"/>
      </w:pPr>
      <w:r>
        <w:t xml:space="preserve">　　三、</w:t>
      </w:r>
      <w:r w:rsidR="000D4C99">
        <w:t>聲請調查之證據與待證事實之關係</w:t>
      </w:r>
      <w:r>
        <w:t>。</w:t>
      </w:r>
    </w:p>
    <w:p w14:paraId="20421EF6" w14:textId="6C111AD9"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247DE0">
        <w:rPr>
          <w:rFonts w:asciiTheme="minorHAnsi" w:hAnsiTheme="minorHAnsi"/>
          <w:color w:val="404040" w:themeColor="text1" w:themeTint="BF"/>
          <w:sz w:val="18"/>
        </w:rPr>
        <w:t>2</w:t>
      </w:r>
      <w:r w:rsidR="00247DE0" w:rsidRPr="003B6E03">
        <w:rPr>
          <w:rFonts w:asciiTheme="minorHAnsi" w:hAnsiTheme="minorHAnsi"/>
          <w:color w:val="404040" w:themeColor="text1" w:themeTint="BF"/>
          <w:sz w:val="18"/>
        </w:rPr>
        <w:t>﹞</w:t>
      </w:r>
      <w:r w:rsidR="003B6E03" w:rsidRPr="00C24145">
        <w:rPr>
          <w:color w:val="17365D"/>
        </w:rPr>
        <w:t>被告</w:t>
      </w:r>
      <w:r w:rsidR="003B6E03">
        <w:t>、</w:t>
      </w:r>
      <w:r w:rsidR="000D4C99" w:rsidRPr="00C24145">
        <w:rPr>
          <w:color w:val="17365D"/>
        </w:rPr>
        <w:t>辯護人主張待證事實或聲請調查證據者，應於檢察官為前項之說明後，向國民法官法庭說明之，並準用前項規定。</w:t>
      </w:r>
    </w:p>
    <w:p w14:paraId="4504FBB8" w14:textId="77777777" w:rsidR="003B6E03" w:rsidRDefault="000D4C99" w:rsidP="00674FCC">
      <w:pPr>
        <w:pStyle w:val="2"/>
        <w:jc w:val="both"/>
      </w:pPr>
      <w:bookmarkStart w:id="83" w:name="a71"/>
      <w:bookmarkEnd w:id="83"/>
      <w:r>
        <w:t>第</w:t>
      </w:r>
      <w:r>
        <w:t>71</w:t>
      </w:r>
      <w:r w:rsidR="003B6E03">
        <w:t>條</w:t>
      </w:r>
    </w:p>
    <w:p w14:paraId="5FE873C2" w14:textId="17E734C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審判長於前條程序完畢後，應說明準備程序整理爭點之結果及調查證據之範圍、次序及方法。</w:t>
      </w:r>
    </w:p>
    <w:p w14:paraId="3082CB6E" w14:textId="77777777" w:rsidR="003B6E03" w:rsidRDefault="000D4C99" w:rsidP="00674FCC">
      <w:pPr>
        <w:pStyle w:val="2"/>
        <w:jc w:val="both"/>
      </w:pPr>
      <w:bookmarkStart w:id="84" w:name="a72"/>
      <w:bookmarkEnd w:id="84"/>
      <w:r>
        <w:t>第</w:t>
      </w:r>
      <w:r>
        <w:t>72</w:t>
      </w:r>
      <w:r w:rsidR="003B6E03">
        <w:t>條</w:t>
      </w:r>
    </w:p>
    <w:p w14:paraId="6A32372E" w14:textId="11C6D15D"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審判長於聽取當事人、辯護人之意見後，得變更準備程序所擬定調查證據之範圍、次序及方法。</w:t>
      </w:r>
    </w:p>
    <w:p w14:paraId="5738F18F" w14:textId="77777777" w:rsidR="003B6E03" w:rsidRDefault="000D4C99" w:rsidP="00674FCC">
      <w:pPr>
        <w:pStyle w:val="2"/>
        <w:jc w:val="both"/>
      </w:pPr>
      <w:bookmarkStart w:id="85" w:name="a73"/>
      <w:bookmarkEnd w:id="85"/>
      <w:r>
        <w:t>第</w:t>
      </w:r>
      <w:r>
        <w:t>73</w:t>
      </w:r>
      <w:r w:rsidR="003B6E03">
        <w:t>條</w:t>
      </w:r>
    </w:p>
    <w:p w14:paraId="04A402D3" w14:textId="132999D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當事人、辯護人聲請傳喚之證人、鑑定人、通譯，於審判長為人別訊問後，由當事人、辯護人直接詰問之。國民法官、備位國民法官於證人、鑑定人、通譯經詰問完畢，得於告知審判長後，於待證事項範圍內，自行或請求審判長補充訊問之</w:t>
      </w:r>
      <w:r w:rsidR="003B6E03">
        <w:t>。</w:t>
      </w:r>
    </w:p>
    <w:p w14:paraId="42188502" w14:textId="21F9DF3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國民法官、備位國民法官於審判長就被訴事實訊問被告完畢，得於告知審判長後，就判斷罪責及科刑之必要事項，自行或請求審判長補充訊問之</w:t>
      </w:r>
      <w:r w:rsidR="003B6E03">
        <w:t>。</w:t>
      </w:r>
    </w:p>
    <w:p w14:paraId="43334F78" w14:textId="17F0C00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國民法官、備位國民法官於被害人或其家屬陳述意見完畢，得於告知審判長後，於釐清其陳述意旨之範圍內，自行或請求審判長補充詢問之。</w:t>
      </w:r>
    </w:p>
    <w:p w14:paraId="61BFEBE3" w14:textId="5FD56921"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C24145">
        <w:rPr>
          <w:color w:val="17365D"/>
        </w:rPr>
        <w:t>審判長認國民法官、備位國民法官依前三項所為之訊問或詢問為不適當者，得限制或禁止之。</w:t>
      </w:r>
    </w:p>
    <w:p w14:paraId="1474C61B" w14:textId="77777777" w:rsidR="003B6E03" w:rsidRDefault="000D4C99" w:rsidP="00674FCC">
      <w:pPr>
        <w:pStyle w:val="2"/>
        <w:jc w:val="both"/>
      </w:pPr>
      <w:bookmarkStart w:id="86" w:name="a74"/>
      <w:bookmarkEnd w:id="86"/>
      <w:r>
        <w:t>第</w:t>
      </w:r>
      <w:r>
        <w:t>74</w:t>
      </w:r>
      <w:r w:rsidR="003B6E03">
        <w:t>條</w:t>
      </w:r>
    </w:p>
    <w:p w14:paraId="3BAB377B" w14:textId="3A41168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當事人、辯護人聲請調查之筆錄及其他可為證據之文書，由聲請人向國民法官法庭、他造當事人、辯護人或輔佐人宣讀</w:t>
      </w:r>
      <w:r w:rsidR="003B6E03">
        <w:t>。</w:t>
      </w:r>
    </w:p>
    <w:p w14:paraId="0C96B984" w14:textId="0B3CB91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前項文書由法院依職權調查者，審判長應向國民法官法庭、當事人、辯護人或輔佐人宣讀</w:t>
      </w:r>
      <w:r w:rsidR="003B6E03">
        <w:t>。</w:t>
      </w:r>
    </w:p>
    <w:p w14:paraId="0553035D" w14:textId="04B6247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前二項情形，經當事人及辯護人同意，且法院認為適當者，得以告以要旨代之。</w:t>
      </w:r>
    </w:p>
    <w:p w14:paraId="36166170" w14:textId="6F0F1A62"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C24145">
        <w:rPr>
          <w:color w:val="17365D"/>
        </w:rPr>
        <w:t>第一項及第二項之文書，有關風化、公安或有毀損他人名譽之虞者，應交國民法官法庭、當事人、辯護人或輔佐人閱覽，不得宣讀；如當事人或辯護人不解其意義者，並應由聲請人或審判長告以要旨。</w:t>
      </w:r>
    </w:p>
    <w:p w14:paraId="25077A49" w14:textId="77777777" w:rsidR="003B6E03" w:rsidRDefault="000D4C99" w:rsidP="00674FCC">
      <w:pPr>
        <w:pStyle w:val="2"/>
        <w:jc w:val="both"/>
      </w:pPr>
      <w:bookmarkStart w:id="87" w:name="a75"/>
      <w:bookmarkEnd w:id="87"/>
      <w:r>
        <w:t>第</w:t>
      </w:r>
      <w:r>
        <w:t>75</w:t>
      </w:r>
      <w:r w:rsidR="003B6E03">
        <w:t>條</w:t>
      </w:r>
    </w:p>
    <w:p w14:paraId="22E9D903" w14:textId="4FDCE69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前條之規定，於文書外之證物有與文書相同之效用者，準用之</w:t>
      </w:r>
      <w:r w:rsidR="003B6E03">
        <w:t>。</w:t>
      </w:r>
    </w:p>
    <w:p w14:paraId="322C4194" w14:textId="2D042977" w:rsidR="003B6E03" w:rsidRDefault="005560B7" w:rsidP="00674FCC">
      <w:pPr>
        <w:ind w:left="142"/>
        <w:jc w:val="both"/>
        <w:rPr>
          <w:color w:val="17365D"/>
        </w:rPr>
      </w:pPr>
      <w:r w:rsidRPr="005560B7">
        <w:rPr>
          <w:rFonts w:asciiTheme="minorHAnsi" w:hAnsiTheme="minorHAnsi"/>
          <w:color w:val="404040" w:themeColor="text1" w:themeTint="BF"/>
          <w:sz w:val="18"/>
        </w:rPr>
        <w:t>﹝</w:t>
      </w:r>
      <w:r w:rsidR="00247DE0">
        <w:rPr>
          <w:rFonts w:asciiTheme="minorHAnsi" w:hAnsiTheme="minorHAnsi"/>
          <w:color w:val="404040" w:themeColor="text1" w:themeTint="BF"/>
          <w:sz w:val="18"/>
        </w:rPr>
        <w:t>2</w:t>
      </w:r>
      <w:r w:rsidR="00247DE0" w:rsidRPr="003B6E03">
        <w:rPr>
          <w:rFonts w:asciiTheme="minorHAnsi" w:hAnsiTheme="minorHAnsi"/>
          <w:color w:val="404040" w:themeColor="text1" w:themeTint="BF"/>
          <w:sz w:val="18"/>
        </w:rPr>
        <w:t>﹞</w:t>
      </w:r>
      <w:r w:rsidR="003B6E03" w:rsidRPr="00C24145">
        <w:rPr>
          <w:color w:val="17365D"/>
        </w:rPr>
        <w:t>錄音</w:t>
      </w:r>
      <w:r w:rsidR="003B6E03">
        <w:t>、</w:t>
      </w:r>
      <w:r w:rsidR="000D4C99" w:rsidRPr="00C24145">
        <w:rPr>
          <w:color w:val="17365D"/>
        </w:rPr>
        <w:t>錄影、電磁紀錄或其他相類之證物可為證據者，聲請人應以適當之設備，顯示聲音、影像、符號或資料，使國民法官法庭、他造當事人、辯護人或輔佐人辨認或告以要旨</w:t>
      </w:r>
      <w:r w:rsidR="003B6E03">
        <w:rPr>
          <w:color w:val="17365D"/>
        </w:rPr>
        <w:t>。</w:t>
      </w:r>
    </w:p>
    <w:p w14:paraId="37598D21" w14:textId="02E97D09" w:rsidR="000D4C99" w:rsidRDefault="005560B7" w:rsidP="00674FCC">
      <w:pPr>
        <w:ind w:left="142"/>
        <w:jc w:val="both"/>
      </w:pPr>
      <w:r w:rsidRPr="005560B7">
        <w:rPr>
          <w:rFonts w:asciiTheme="minorHAnsi" w:hAnsiTheme="minorHAnsi"/>
          <w:color w:val="404040" w:themeColor="text1" w:themeTint="BF"/>
          <w:sz w:val="18"/>
        </w:rPr>
        <w:t>﹝</w:t>
      </w:r>
      <w:r w:rsidR="00247DE0">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前項證據由法院依職權調查者，審判長應以前項方式使國民法官法庭、當事人、辯護人或輔佐人辨認或告以要旨。</w:t>
      </w:r>
    </w:p>
    <w:p w14:paraId="19963639" w14:textId="77777777" w:rsidR="003B6E03" w:rsidRDefault="000D4C99" w:rsidP="00674FCC">
      <w:pPr>
        <w:pStyle w:val="2"/>
        <w:jc w:val="both"/>
      </w:pPr>
      <w:bookmarkStart w:id="88" w:name="a76"/>
      <w:bookmarkEnd w:id="88"/>
      <w:r>
        <w:t>第</w:t>
      </w:r>
      <w:r>
        <w:t>76</w:t>
      </w:r>
      <w:r w:rsidR="003B6E03">
        <w:t>條</w:t>
      </w:r>
    </w:p>
    <w:p w14:paraId="7F3EDDBA" w14:textId="7448BF4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當事人、辯護人聲請調查之證物，由聲請人提示予國民法官法庭、他造當事人、辯護人或輔佐人辨認</w:t>
      </w:r>
      <w:r w:rsidR="003B6E03">
        <w:t>。</w:t>
      </w:r>
    </w:p>
    <w:p w14:paraId="0D9D0342" w14:textId="206BA61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法院依職權調查之證物，審判長應提示予國民法官法庭、當事人、辯護人或輔佐人辨認</w:t>
      </w:r>
      <w:r w:rsidR="003B6E03">
        <w:t>。</w:t>
      </w:r>
    </w:p>
    <w:p w14:paraId="5942554A" w14:textId="379FB867" w:rsidR="000D4C99" w:rsidRDefault="005560B7" w:rsidP="00674FCC">
      <w:pPr>
        <w:ind w:left="142"/>
        <w:jc w:val="both"/>
      </w:pPr>
      <w:r w:rsidRPr="005560B7">
        <w:rPr>
          <w:rFonts w:asciiTheme="minorHAnsi" w:hAnsiTheme="minorHAnsi"/>
          <w:color w:val="404040" w:themeColor="text1" w:themeTint="BF"/>
          <w:sz w:val="18"/>
        </w:rPr>
        <w:lastRenderedPageBreak/>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前二項證物如係文書而當事人或辯護人不解其意義者，並應由聲請人或審判長告以要旨。</w:t>
      </w:r>
    </w:p>
    <w:p w14:paraId="0E2E815C" w14:textId="77777777" w:rsidR="003B6E03" w:rsidRDefault="000D4C99" w:rsidP="00674FCC">
      <w:pPr>
        <w:pStyle w:val="2"/>
        <w:jc w:val="both"/>
      </w:pPr>
      <w:bookmarkStart w:id="89" w:name="a77"/>
      <w:bookmarkEnd w:id="89"/>
      <w:r>
        <w:t>第</w:t>
      </w:r>
      <w:r>
        <w:t>77</w:t>
      </w:r>
      <w:r w:rsidR="003B6E03">
        <w:t>條</w:t>
      </w:r>
    </w:p>
    <w:p w14:paraId="188FA1D6" w14:textId="06F9CC9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當事人、辯護人或輔佐人得於個別證據調查完畢後請求表示意見。審判長認為適當者，亦得請當事人、辯護人或輔佐人表示意見</w:t>
      </w:r>
      <w:r w:rsidR="003B6E03">
        <w:t>。</w:t>
      </w:r>
    </w:p>
    <w:p w14:paraId="7DE54E93" w14:textId="37CC2B6C"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審判長應於證據調查完畢後，告知當事人、辯護人或輔佐人得對證據證明力表示意見。</w:t>
      </w:r>
    </w:p>
    <w:p w14:paraId="035FB64E" w14:textId="77777777" w:rsidR="003B6E03" w:rsidRDefault="000D4C99" w:rsidP="00674FCC">
      <w:pPr>
        <w:pStyle w:val="2"/>
        <w:jc w:val="both"/>
      </w:pPr>
      <w:bookmarkStart w:id="90" w:name="a78"/>
      <w:bookmarkEnd w:id="90"/>
      <w:r>
        <w:t>第</w:t>
      </w:r>
      <w:r>
        <w:t>78</w:t>
      </w:r>
      <w:r w:rsidR="003B6E03">
        <w:t>條</w:t>
      </w:r>
    </w:p>
    <w:p w14:paraId="7F3FF85C" w14:textId="482D858B"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依第</w:t>
      </w:r>
      <w:hyperlink w:anchor="a74" w:history="1">
        <w:r w:rsidR="000D4C99" w:rsidRPr="00C24145">
          <w:rPr>
            <w:rStyle w:val="a3"/>
            <w:rFonts w:ascii="Times New Roman" w:hAnsi="Times New Roman"/>
          </w:rPr>
          <w:t>七十四</w:t>
        </w:r>
      </w:hyperlink>
      <w:r w:rsidR="000D4C99">
        <w:t>條至第</w:t>
      </w:r>
      <w:hyperlink w:anchor="a76" w:history="1">
        <w:r w:rsidR="000D4C99" w:rsidRPr="00144F5E">
          <w:rPr>
            <w:rStyle w:val="a3"/>
            <w:rFonts w:ascii="Times New Roman" w:hAnsi="Times New Roman"/>
          </w:rPr>
          <w:t>七十六</w:t>
        </w:r>
      </w:hyperlink>
      <w:r w:rsidR="000D4C99">
        <w:t>條所定程序調查之證據調查完畢後，應立即提出於法院。但經法院許可者，得僅提出複本。</w:t>
      </w:r>
    </w:p>
    <w:p w14:paraId="6F55915A" w14:textId="77777777" w:rsidR="003B6E03" w:rsidRDefault="000D4C99" w:rsidP="00674FCC">
      <w:pPr>
        <w:pStyle w:val="2"/>
        <w:jc w:val="both"/>
      </w:pPr>
      <w:bookmarkStart w:id="91" w:name="a79"/>
      <w:bookmarkEnd w:id="91"/>
      <w:r>
        <w:t>第</w:t>
      </w:r>
      <w:r>
        <w:t>79</w:t>
      </w:r>
      <w:r w:rsidR="003B6E03">
        <w:t>條</w:t>
      </w:r>
    </w:p>
    <w:p w14:paraId="307D233A" w14:textId="7F710534"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調查證據完畢後，應命依下列次序就事實及法律分別辯論之：</w:t>
      </w:r>
    </w:p>
    <w:p w14:paraId="5A12FFF3" w14:textId="77777777" w:rsidR="003B6E03" w:rsidRDefault="000D4C99" w:rsidP="00674FCC">
      <w:pPr>
        <w:ind w:left="142"/>
        <w:jc w:val="both"/>
      </w:pPr>
      <w:r>
        <w:t xml:space="preserve">　　一、檢察官</w:t>
      </w:r>
      <w:r w:rsidR="003B6E03">
        <w:t>。</w:t>
      </w:r>
    </w:p>
    <w:p w14:paraId="069365EF" w14:textId="01A1A05C" w:rsidR="003B6E03" w:rsidRDefault="003B6E03" w:rsidP="00674FCC">
      <w:pPr>
        <w:ind w:left="142"/>
        <w:jc w:val="both"/>
      </w:pPr>
      <w:r>
        <w:t xml:space="preserve">　　二、</w:t>
      </w:r>
      <w:r w:rsidR="000D4C99">
        <w:t>被告</w:t>
      </w:r>
      <w:r>
        <w:t>。</w:t>
      </w:r>
    </w:p>
    <w:p w14:paraId="653550C8" w14:textId="4B23ADBD" w:rsidR="003B6E03" w:rsidRDefault="003B6E03" w:rsidP="00674FCC">
      <w:pPr>
        <w:ind w:left="142"/>
        <w:jc w:val="both"/>
      </w:pPr>
      <w:r>
        <w:t xml:space="preserve">　　三、</w:t>
      </w:r>
      <w:r w:rsidR="000D4C99">
        <w:t>辯護人</w:t>
      </w:r>
      <w:r>
        <w:t>。</w:t>
      </w:r>
    </w:p>
    <w:p w14:paraId="049DD45C" w14:textId="41484C6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前項辯論後，應命依同一次序，就科刑範圍辯論之。於科刑辯論前，並應予到場之告訴人、被害人或其家屬或其他依法得陳述意見之人，就科刑範圍表示意見之機會</w:t>
      </w:r>
      <w:r w:rsidR="003B6E03">
        <w:t>。</w:t>
      </w:r>
    </w:p>
    <w:p w14:paraId="193E267E" w14:textId="747BE994"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已依前二項辯論者，得再為辯論，審判長亦得命再行辯論。</w:t>
      </w:r>
    </w:p>
    <w:p w14:paraId="5CB27423" w14:textId="77777777" w:rsidR="003B6E03" w:rsidRDefault="000D4C99" w:rsidP="00674FCC">
      <w:pPr>
        <w:pStyle w:val="2"/>
        <w:jc w:val="both"/>
      </w:pPr>
      <w:bookmarkStart w:id="92" w:name="a80"/>
      <w:bookmarkEnd w:id="92"/>
      <w:r>
        <w:t>第</w:t>
      </w:r>
      <w:r>
        <w:t>80</w:t>
      </w:r>
      <w:r w:rsidR="003B6E03">
        <w:t>條</w:t>
      </w:r>
    </w:p>
    <w:p w14:paraId="13BA7E95" w14:textId="77EA9AC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參與審判之國民法官有更易者，除第</w:t>
      </w:r>
      <w:hyperlink w:anchor="a37" w:history="1">
        <w:r w:rsidR="000D4C99" w:rsidRPr="00C24145">
          <w:rPr>
            <w:rStyle w:val="a3"/>
            <w:rFonts w:ascii="Times New Roman" w:hAnsi="Times New Roman"/>
          </w:rPr>
          <w:t>三十七</w:t>
        </w:r>
      </w:hyperlink>
      <w:r w:rsidR="000D4C99">
        <w:t>條第一項之情形外，應更新審判程序，新任國民法官有疑惑者，得請求審判長釋疑</w:t>
      </w:r>
      <w:r w:rsidR="003B6E03">
        <w:t>。</w:t>
      </w:r>
    </w:p>
    <w:p w14:paraId="1F23F3CE" w14:textId="096DBBD5" w:rsidR="003B6E0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前項審判程序之更新，審判長應斟酌新任國民法官對於爭點、已經調查完畢證據之理解程度，及全體國民法官與備位國民法官負擔程度之均衡維護</w:t>
      </w:r>
      <w:r w:rsidR="003B6E03">
        <w:rPr>
          <w:color w:val="17365D"/>
        </w:rPr>
        <w:t>。</w:t>
      </w:r>
    </w:p>
    <w:p w14:paraId="25763910" w14:textId="341FE304" w:rsidR="00C24145" w:rsidRDefault="003B6E03" w:rsidP="00674FCC">
      <w:pPr>
        <w:ind w:left="142"/>
        <w:jc w:val="both"/>
      </w:pPr>
      <w:r w:rsidRPr="00AF3398">
        <w:rPr>
          <w:color w:val="17365D"/>
          <w:sz w:val="18"/>
        </w:rPr>
        <w:t xml:space="preserve">　　　　</w:t>
      </w:r>
      <w:r w:rsidR="00032FAC" w:rsidRPr="00A22F73">
        <w:rPr>
          <w:rFonts w:ascii="Arial Unicode MS" w:hAnsi="Arial Unicode MS"/>
          <w:color w:val="808000"/>
          <w:sz w:val="18"/>
        </w:rPr>
        <w:t xml:space="preserve">　　　　　　　　　　　　　　　　　　　　　　　　　　　　　　　　　　　　　　　　　　　　</w:t>
      </w:r>
      <w:hyperlink w:anchor="a章節索引" w:history="1">
        <w:r w:rsidR="00032FAC" w:rsidRPr="00A22F73">
          <w:rPr>
            <w:rStyle w:val="a3"/>
            <w:rFonts w:ascii="Arial Unicode MS" w:hAnsi="Arial Unicode MS"/>
            <w:sz w:val="18"/>
          </w:rPr>
          <w:t>回索引</w:t>
        </w:r>
      </w:hyperlink>
      <w:r w:rsidR="00032FAC" w:rsidRPr="00A22F73">
        <w:rPr>
          <w:rFonts w:ascii="Arial Unicode MS" w:hAnsi="Arial Unicode MS" w:hint="eastAsia"/>
          <w:color w:val="808000"/>
          <w:sz w:val="18"/>
        </w:rPr>
        <w:t>〉〉</w:t>
      </w:r>
    </w:p>
    <w:p w14:paraId="69337EBD" w14:textId="77777777" w:rsidR="000D4C99" w:rsidRDefault="000D4C99" w:rsidP="00674FCC">
      <w:pPr>
        <w:pStyle w:val="1"/>
        <w:jc w:val="both"/>
      </w:pPr>
      <w:bookmarkStart w:id="93" w:name="_第四章__審理程序_4"/>
      <w:bookmarkEnd w:id="93"/>
      <w:r>
        <w:t>第四章　　審理程序　　第五節　終局評議及判決</w:t>
      </w:r>
    </w:p>
    <w:p w14:paraId="68964468" w14:textId="77777777" w:rsidR="003B6E03" w:rsidRDefault="000D4C99" w:rsidP="00674FCC">
      <w:pPr>
        <w:pStyle w:val="2"/>
        <w:jc w:val="both"/>
      </w:pPr>
      <w:bookmarkStart w:id="94" w:name="a81"/>
      <w:bookmarkEnd w:id="94"/>
      <w:r>
        <w:t>第</w:t>
      </w:r>
      <w:r>
        <w:t>81</w:t>
      </w:r>
      <w:r w:rsidR="003B6E03">
        <w:t>條</w:t>
      </w:r>
    </w:p>
    <w:p w14:paraId="38A8C0CA" w14:textId="0A2D4F4D"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終局評議，除有特別情形外，應於辯論終結後，即時行之。</w:t>
      </w:r>
    </w:p>
    <w:p w14:paraId="42C9E8D5" w14:textId="77777777" w:rsidR="003B6E03" w:rsidRDefault="000D4C99" w:rsidP="00674FCC">
      <w:pPr>
        <w:pStyle w:val="2"/>
        <w:jc w:val="both"/>
      </w:pPr>
      <w:bookmarkStart w:id="95" w:name="a82"/>
      <w:bookmarkEnd w:id="95"/>
      <w:r>
        <w:t>第</w:t>
      </w:r>
      <w:r>
        <w:t>82</w:t>
      </w:r>
      <w:r w:rsidR="003B6E03">
        <w:t>條</w:t>
      </w:r>
    </w:p>
    <w:p w14:paraId="15573DC0" w14:textId="6F4A6D2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終局評議，由國民法官法庭法官與國民法官共同行之，依序討論事實之認定、法律之適用與科刑</w:t>
      </w:r>
      <w:r w:rsidR="003B6E03">
        <w:t>。</w:t>
      </w:r>
    </w:p>
    <w:p w14:paraId="033A3F12" w14:textId="60C73F78"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前項之評議，應由法官及國民法官全程參與，並以審判長為主席</w:t>
      </w:r>
      <w:r w:rsidR="003B6E03">
        <w:t>。</w:t>
      </w:r>
    </w:p>
    <w:p w14:paraId="6B58BB52" w14:textId="214F5B9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評議時，審判長應懇切說明刑事審判基本原則、本案事實與法律之爭點及整理各項證據之調查結果，並予國民法官、法官自主陳述意見及充分討論之機會，且致力確保國民法官善盡其獨立判斷之職責。</w:t>
      </w:r>
    </w:p>
    <w:p w14:paraId="6101D92D" w14:textId="42E2578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24145">
        <w:rPr>
          <w:color w:val="17365D"/>
        </w:rPr>
        <w:t>審判長認有必要時，應向國民法官說明經法官合議決定之證據能力、證據調查必要性之判斷、訴訟程序之裁定及法令之解釋</w:t>
      </w:r>
      <w:r w:rsidR="003B6E03">
        <w:t>。</w:t>
      </w:r>
    </w:p>
    <w:p w14:paraId="0CD70A00" w14:textId="5A7A48C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3B6E03">
        <w:t>國民法官應依前項之說明，行使第一項所定之職權。</w:t>
      </w:r>
    </w:p>
    <w:p w14:paraId="52EDF0D8" w14:textId="375EB75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6</w:t>
      </w:r>
      <w:r w:rsidR="003B6E03" w:rsidRPr="003B6E03">
        <w:rPr>
          <w:rFonts w:asciiTheme="minorHAnsi" w:hAnsiTheme="minorHAnsi"/>
          <w:color w:val="404040" w:themeColor="text1" w:themeTint="BF"/>
          <w:sz w:val="18"/>
        </w:rPr>
        <w:t>﹞</w:t>
      </w:r>
      <w:r w:rsidR="003B6E03" w:rsidRPr="00C24145">
        <w:rPr>
          <w:color w:val="17365D"/>
        </w:rPr>
        <w:t>評議時，應依序由國民法官及法官就事實之認定、法律之適用及科刑個別陳述意見</w:t>
      </w:r>
      <w:r w:rsidR="003B6E03">
        <w:t>。</w:t>
      </w:r>
    </w:p>
    <w:p w14:paraId="3D6E4123" w14:textId="32B1692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7</w:t>
      </w:r>
      <w:r w:rsidR="003B6E03" w:rsidRPr="003B6E03">
        <w:rPr>
          <w:rFonts w:asciiTheme="minorHAnsi" w:hAnsiTheme="minorHAnsi"/>
          <w:color w:val="404040" w:themeColor="text1" w:themeTint="BF"/>
          <w:sz w:val="18"/>
        </w:rPr>
        <w:t>﹞</w:t>
      </w:r>
      <w:r w:rsidR="003B6E03">
        <w:t>國民法官不得因其就評議事項係屬少數意見，而拒絕對次一應行評議之事項陳述意見。</w:t>
      </w:r>
    </w:p>
    <w:p w14:paraId="3064F8BA" w14:textId="6A0B1374"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8</w:t>
      </w:r>
      <w:r w:rsidR="003B6E03" w:rsidRPr="003B6E03">
        <w:rPr>
          <w:rFonts w:asciiTheme="minorHAnsi" w:hAnsiTheme="minorHAnsi"/>
          <w:color w:val="404040" w:themeColor="text1" w:themeTint="BF"/>
          <w:sz w:val="18"/>
        </w:rPr>
        <w:t>﹞</w:t>
      </w:r>
      <w:r w:rsidR="000D4C99" w:rsidRPr="00C24145">
        <w:rPr>
          <w:color w:val="17365D"/>
        </w:rPr>
        <w:t>旁聽之備位國民法官不得參與討論及陳述意見。</w:t>
      </w:r>
    </w:p>
    <w:p w14:paraId="3BF29E56" w14:textId="77777777" w:rsidR="003B6E03" w:rsidRDefault="000D4C99" w:rsidP="00674FCC">
      <w:pPr>
        <w:pStyle w:val="2"/>
        <w:jc w:val="both"/>
      </w:pPr>
      <w:bookmarkStart w:id="96" w:name="a83"/>
      <w:bookmarkEnd w:id="96"/>
      <w:r>
        <w:lastRenderedPageBreak/>
        <w:t>第</w:t>
      </w:r>
      <w:r>
        <w:t>83</w:t>
      </w:r>
      <w:r w:rsidR="003B6E03">
        <w:t>條</w:t>
      </w:r>
    </w:p>
    <w:p w14:paraId="6ABB3CE7" w14:textId="145D072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有罪之認定，以包含國民法官及法官雙方意見在內達三分之二以上之同意決定之。未獲該比例人數同意時，應諭知無罪之判決或為有利於被告之認定</w:t>
      </w:r>
      <w:r w:rsidR="003B6E03">
        <w:t>。</w:t>
      </w:r>
    </w:p>
    <w:p w14:paraId="5ADEB7D6" w14:textId="1ACB8C84" w:rsidR="003B6E03" w:rsidRDefault="00D523DF" w:rsidP="00674FCC">
      <w:pPr>
        <w:ind w:left="142"/>
        <w:jc w:val="both"/>
        <w:rPr>
          <w:color w:val="17365D"/>
        </w:rPr>
      </w:pPr>
      <w:r w:rsidRPr="005560B7">
        <w:rPr>
          <w:rFonts w:asciiTheme="minorHAnsi" w:hAnsiTheme="minorHAnsi"/>
          <w:color w:val="404040" w:themeColor="text1" w:themeTint="BF"/>
          <w:sz w:val="18"/>
        </w:rPr>
        <w:t>﹝</w:t>
      </w:r>
      <w:r w:rsidRPr="003B6E03">
        <w:rPr>
          <w:rFonts w:asciiTheme="minorHAnsi" w:hAnsiTheme="minorHAnsi"/>
          <w:color w:val="404040" w:themeColor="text1" w:themeTint="BF"/>
          <w:sz w:val="18"/>
        </w:rPr>
        <w:t>2</w:t>
      </w:r>
      <w:r w:rsidRPr="003B6E03">
        <w:rPr>
          <w:rFonts w:asciiTheme="minorHAnsi" w:hAnsiTheme="minorHAnsi"/>
          <w:color w:val="404040" w:themeColor="text1" w:themeTint="BF"/>
          <w:sz w:val="18"/>
        </w:rPr>
        <w:t>﹞</w:t>
      </w:r>
      <w:r w:rsidR="003B6E03" w:rsidRPr="00C24145">
        <w:rPr>
          <w:color w:val="17365D"/>
        </w:rPr>
        <w:t>免訴</w:t>
      </w:r>
      <w:r w:rsidR="003B6E03">
        <w:t>、</w:t>
      </w:r>
      <w:r w:rsidR="000D4C99" w:rsidRPr="00C24145">
        <w:rPr>
          <w:color w:val="17365D"/>
        </w:rPr>
        <w:t>不受理或管轄錯誤之認定，以包含國民法官及法官雙方意見在內過半數之同意決定之</w:t>
      </w:r>
      <w:r w:rsidR="003B6E03">
        <w:rPr>
          <w:color w:val="17365D"/>
        </w:rPr>
        <w:t>。</w:t>
      </w:r>
    </w:p>
    <w:p w14:paraId="7D123683" w14:textId="43E525A1" w:rsidR="003B6E03" w:rsidRDefault="005560B7" w:rsidP="00674FCC">
      <w:pPr>
        <w:ind w:left="142"/>
        <w:jc w:val="both"/>
        <w:rPr>
          <w:color w:val="17365D"/>
        </w:rPr>
      </w:pPr>
      <w:r w:rsidRPr="005560B7">
        <w:rPr>
          <w:rFonts w:asciiTheme="minorHAnsi" w:hAnsiTheme="minorHAnsi"/>
          <w:color w:val="404040" w:themeColor="text1" w:themeTint="BF"/>
          <w:sz w:val="18"/>
        </w:rPr>
        <w:t>﹝</w:t>
      </w:r>
      <w:r w:rsidR="00D523DF">
        <w:rPr>
          <w:rFonts w:asciiTheme="minorHAnsi" w:hAnsiTheme="minorHAnsi" w:hint="eastAsia"/>
          <w:color w:val="404040" w:themeColor="text1" w:themeTint="BF"/>
          <w:sz w:val="18"/>
        </w:rPr>
        <w:t>3</w:t>
      </w:r>
      <w:r w:rsidR="003B6E03" w:rsidRPr="003B6E03">
        <w:rPr>
          <w:rFonts w:asciiTheme="minorHAnsi" w:hAnsiTheme="minorHAnsi"/>
          <w:color w:val="404040" w:themeColor="text1" w:themeTint="BF"/>
          <w:sz w:val="18"/>
        </w:rPr>
        <w:t>﹞</w:t>
      </w:r>
      <w:r w:rsidR="003B6E03">
        <w:t>有關科刑事項之評議，以包含國民法官及法官雙方意見在內過半數之意見決定之。但死刑之科處，非以包含國民法官及法官雙方意見在內達三分之二以上之同意，不得為之</w:t>
      </w:r>
      <w:r w:rsidR="003B6E03">
        <w:rPr>
          <w:color w:val="17365D"/>
        </w:rPr>
        <w:t>。</w:t>
      </w:r>
    </w:p>
    <w:p w14:paraId="16FBB7F9" w14:textId="0B5DC180"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D523DF">
        <w:rPr>
          <w:rFonts w:asciiTheme="minorHAnsi" w:hAnsiTheme="minorHAnsi" w:hint="eastAsia"/>
          <w:color w:val="404040" w:themeColor="text1" w:themeTint="BF"/>
          <w:sz w:val="18"/>
        </w:rPr>
        <w:t>4</w:t>
      </w:r>
      <w:r w:rsidR="003B6E03" w:rsidRPr="003B6E03">
        <w:rPr>
          <w:rFonts w:asciiTheme="minorHAnsi" w:hAnsiTheme="minorHAnsi"/>
          <w:color w:val="404040" w:themeColor="text1" w:themeTint="BF"/>
          <w:sz w:val="18"/>
        </w:rPr>
        <w:t>﹞</w:t>
      </w:r>
      <w:r w:rsidR="000D4C99" w:rsidRPr="00C24145">
        <w:rPr>
          <w:color w:val="17365D"/>
        </w:rPr>
        <w:t>前項本文之評議，因國民法官及法官之意見歧異，而未達包含國民法官及法官雙方意見在內之過半數意見者，以最不利於被告之意見，順次算入次不利於被告之意見，至達包含國民法官及法官雙方意見在內之過半數意見為止，為評決結果。</w:t>
      </w:r>
    </w:p>
    <w:p w14:paraId="6B70C6CE" w14:textId="77777777" w:rsidR="003B6E03" w:rsidRDefault="000D4C99" w:rsidP="00674FCC">
      <w:pPr>
        <w:pStyle w:val="2"/>
        <w:jc w:val="both"/>
      </w:pPr>
      <w:bookmarkStart w:id="97" w:name="a84"/>
      <w:bookmarkEnd w:id="97"/>
      <w:r>
        <w:t>第</w:t>
      </w:r>
      <w:r>
        <w:t>84</w:t>
      </w:r>
      <w:r w:rsidR="003B6E03">
        <w:t>條</w:t>
      </w:r>
    </w:p>
    <w:p w14:paraId="57233F1C" w14:textId="2F87A5EF"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終局評議於當日不能終結者，除有特別情形外，應於翌日接續為之。</w:t>
      </w:r>
    </w:p>
    <w:p w14:paraId="492221CD" w14:textId="77777777" w:rsidR="003B6E03" w:rsidRDefault="000D4C99" w:rsidP="00674FCC">
      <w:pPr>
        <w:pStyle w:val="2"/>
        <w:jc w:val="both"/>
      </w:pPr>
      <w:bookmarkStart w:id="98" w:name="a85"/>
      <w:bookmarkEnd w:id="98"/>
      <w:r>
        <w:t>第</w:t>
      </w:r>
      <w:r>
        <w:t>85</w:t>
      </w:r>
      <w:r w:rsidR="003B6E03">
        <w:t>條</w:t>
      </w:r>
    </w:p>
    <w:p w14:paraId="40B6EA7A" w14:textId="444532B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國民法官及法官就終局評議時所為之個別意見陳述、意見分布情形、評議之經過，應嚴守秘密</w:t>
      </w:r>
      <w:r w:rsidR="003B6E03">
        <w:t>。</w:t>
      </w:r>
    </w:p>
    <w:p w14:paraId="5CBDCADC" w14:textId="1AA946C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案件之當事人、辯護人或輔佐人，得於裁判確定後聲請閱覽評議意見。但不得抄錄、攝影或影印</w:t>
      </w:r>
      <w:r w:rsidR="003B6E03">
        <w:t>。</w:t>
      </w:r>
    </w:p>
    <w:p w14:paraId="6CBCAF27" w14:textId="16F1C36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前項之情形，個人資料保護法</w:t>
      </w:r>
      <w:hyperlink r:id="rId33" w:anchor="a2" w:history="1">
        <w:r w:rsidR="000D4C99" w:rsidRPr="003B65B6">
          <w:rPr>
            <w:rStyle w:val="a3"/>
            <w:rFonts w:ascii="Times New Roman" w:hAnsi="Times New Roman"/>
          </w:rPr>
          <w:t>第二條</w:t>
        </w:r>
      </w:hyperlink>
      <w:r w:rsidR="000D4C99">
        <w:t>第一款所定屬於國民法官之個人資料應予保密，不得供閱覽。</w:t>
      </w:r>
    </w:p>
    <w:p w14:paraId="38E414BF" w14:textId="77777777" w:rsidR="003B6E03" w:rsidRDefault="000D4C99" w:rsidP="00674FCC">
      <w:pPr>
        <w:pStyle w:val="2"/>
        <w:jc w:val="both"/>
      </w:pPr>
      <w:bookmarkStart w:id="99" w:name="a86"/>
      <w:bookmarkEnd w:id="99"/>
      <w:r>
        <w:t>第</w:t>
      </w:r>
      <w:r>
        <w:t>86</w:t>
      </w:r>
      <w:r w:rsidR="003B6E03">
        <w:t>條</w:t>
      </w:r>
    </w:p>
    <w:p w14:paraId="4CAA07C3" w14:textId="308190F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終局評議終結者，除有特別情形外，應即宣示判決</w:t>
      </w:r>
      <w:r w:rsidR="003B6E03">
        <w:t>。</w:t>
      </w:r>
    </w:p>
    <w:p w14:paraId="460E08E4" w14:textId="090ADCEE"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宣示判決，應朗讀主文，說明其意義。但科刑判決，得僅宣示所犯之罪及主刑</w:t>
      </w:r>
      <w:r w:rsidR="003B6E03">
        <w:t>。</w:t>
      </w:r>
    </w:p>
    <w:p w14:paraId="20933CC8" w14:textId="6E1E2FDA"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宣示判決，應通知國民法官到庭。但國民法官未到庭，亦得為之。</w:t>
      </w:r>
    </w:p>
    <w:p w14:paraId="77179E66" w14:textId="11DCE7F2"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C24145">
        <w:rPr>
          <w:color w:val="17365D"/>
        </w:rPr>
        <w:t>判決經宣示後，至遲應於判決宣示之日起三十日內，將判決書原本交付書記官。</w:t>
      </w:r>
    </w:p>
    <w:p w14:paraId="45EA56AD" w14:textId="77777777" w:rsidR="003B6E03" w:rsidRDefault="000D4C99" w:rsidP="00674FCC">
      <w:pPr>
        <w:pStyle w:val="2"/>
        <w:jc w:val="both"/>
      </w:pPr>
      <w:bookmarkStart w:id="100" w:name="a87"/>
      <w:bookmarkEnd w:id="100"/>
      <w:r>
        <w:t>第</w:t>
      </w:r>
      <w:r>
        <w:t>87</w:t>
      </w:r>
      <w:r w:rsidR="003B6E03">
        <w:t>條</w:t>
      </w:r>
    </w:p>
    <w:p w14:paraId="7A55E971" w14:textId="395D678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國民法官法庭宣示之判決，由法官製作判決書並簽名之，且應記載本件經國民法官全體參與審判之旨。</w:t>
      </w:r>
    </w:p>
    <w:p w14:paraId="3894D056" w14:textId="77777777" w:rsidR="003B6E03" w:rsidRDefault="000D4C99" w:rsidP="00674FCC">
      <w:pPr>
        <w:pStyle w:val="2"/>
        <w:jc w:val="both"/>
      </w:pPr>
      <w:bookmarkStart w:id="101" w:name="a88"/>
      <w:bookmarkEnd w:id="101"/>
      <w:r>
        <w:t>第</w:t>
      </w:r>
      <w:r>
        <w:t>88</w:t>
      </w:r>
      <w:r w:rsidR="003B6E03">
        <w:t>條</w:t>
      </w:r>
    </w:p>
    <w:p w14:paraId="3083DCE6" w14:textId="48F06A7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有罪之判決書，有關認定犯罪事實之理由，得僅記載證據名稱及對重要爭點判斷之理由</w:t>
      </w:r>
      <w:r w:rsidR="003B6E03">
        <w:t>。</w:t>
      </w:r>
    </w:p>
    <w:p w14:paraId="67C70C51" w14:textId="4142E137" w:rsidR="00C24145" w:rsidRDefault="003B6E03" w:rsidP="00674FCC">
      <w:pPr>
        <w:ind w:left="142"/>
        <w:jc w:val="both"/>
      </w:pPr>
      <w:r>
        <w:t xml:space="preserve">　　　　</w:t>
      </w:r>
      <w:r w:rsidR="00032FAC" w:rsidRPr="00A22F73">
        <w:rPr>
          <w:rFonts w:ascii="Arial Unicode MS" w:hAnsi="Arial Unicode MS"/>
          <w:color w:val="808000"/>
          <w:sz w:val="18"/>
        </w:rPr>
        <w:t xml:space="preserve">　　　　　　　　　　　　　　　　　　　　　　　　　　　　　　　　　　　　　　　　　　　　</w:t>
      </w:r>
      <w:hyperlink w:anchor="a章節索引" w:history="1">
        <w:r w:rsidR="00032FAC" w:rsidRPr="00A22F73">
          <w:rPr>
            <w:rStyle w:val="a3"/>
            <w:rFonts w:ascii="Arial Unicode MS" w:hAnsi="Arial Unicode MS"/>
            <w:sz w:val="18"/>
          </w:rPr>
          <w:t>回索引</w:t>
        </w:r>
      </w:hyperlink>
      <w:r w:rsidR="00032FAC" w:rsidRPr="00A22F73">
        <w:rPr>
          <w:rFonts w:ascii="Arial Unicode MS" w:hAnsi="Arial Unicode MS" w:hint="eastAsia"/>
          <w:color w:val="808000"/>
          <w:sz w:val="18"/>
        </w:rPr>
        <w:t>〉〉</w:t>
      </w:r>
    </w:p>
    <w:p w14:paraId="7F851CE1" w14:textId="77777777" w:rsidR="000D4C99" w:rsidRDefault="000D4C99" w:rsidP="00674FCC">
      <w:pPr>
        <w:pStyle w:val="1"/>
        <w:jc w:val="both"/>
      </w:pPr>
      <w:bookmarkStart w:id="102" w:name="_第四章__審理程序_5"/>
      <w:bookmarkEnd w:id="102"/>
      <w:r>
        <w:t>第四章　　審理程序　　第六節　上訴</w:t>
      </w:r>
    </w:p>
    <w:p w14:paraId="6E7040B9" w14:textId="77777777" w:rsidR="003B6E03" w:rsidRDefault="000D4C99" w:rsidP="00674FCC">
      <w:pPr>
        <w:pStyle w:val="2"/>
        <w:jc w:val="both"/>
      </w:pPr>
      <w:bookmarkStart w:id="103" w:name="a89"/>
      <w:bookmarkEnd w:id="103"/>
      <w:r>
        <w:t>第</w:t>
      </w:r>
      <w:r>
        <w:t>89</w:t>
      </w:r>
      <w:r w:rsidR="003B6E03">
        <w:t>條</w:t>
      </w:r>
    </w:p>
    <w:p w14:paraId="33152B37" w14:textId="42DC951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國民法官不具</w:t>
      </w:r>
      <w:r w:rsidR="004F1EF1">
        <w:t>第</w:t>
      </w:r>
      <w:hyperlink w:anchor="a12" w:history="1">
        <w:r w:rsidR="004F1EF1" w:rsidRPr="00CD05AD">
          <w:rPr>
            <w:rStyle w:val="a3"/>
            <w:rFonts w:ascii="Times New Roman" w:hAnsi="Times New Roman"/>
          </w:rPr>
          <w:t>十二</w:t>
        </w:r>
      </w:hyperlink>
      <w:r w:rsidR="004F1EF1">
        <w:t>條</w:t>
      </w:r>
      <w:r w:rsidR="000D4C99">
        <w:t>第一項所定之資格，或有</w:t>
      </w:r>
      <w:r w:rsidR="004F1EF1" w:rsidRPr="00A47BE3">
        <w:rPr>
          <w:color w:val="17365D"/>
        </w:rPr>
        <w:t>第</w:t>
      </w:r>
      <w:hyperlink w:anchor="a13" w:history="1">
        <w:r w:rsidR="004F1EF1" w:rsidRPr="00CD05AD">
          <w:rPr>
            <w:rStyle w:val="a3"/>
            <w:rFonts w:ascii="Times New Roman" w:hAnsi="Times New Roman"/>
          </w:rPr>
          <w:t>十三</w:t>
        </w:r>
      </w:hyperlink>
      <w:r w:rsidR="004F1EF1" w:rsidRPr="00A47BE3">
        <w:rPr>
          <w:color w:val="17365D"/>
        </w:rPr>
        <w:t>條</w:t>
      </w:r>
      <w:r w:rsidR="000D4C99">
        <w:t>、第</w:t>
      </w:r>
      <w:hyperlink w:anchor="a14" w:history="1">
        <w:r w:rsidR="000D4C99" w:rsidRPr="006749A6">
          <w:rPr>
            <w:rStyle w:val="a3"/>
            <w:rFonts w:ascii="Times New Roman" w:hAnsi="Times New Roman"/>
          </w:rPr>
          <w:t>十四</w:t>
        </w:r>
      </w:hyperlink>
      <w:r w:rsidR="000D4C99">
        <w:t>條所定情形者，不得為上訴之理由。</w:t>
      </w:r>
    </w:p>
    <w:p w14:paraId="0B6B42EE" w14:textId="77777777" w:rsidR="003B6E03" w:rsidRDefault="000D4C99" w:rsidP="00674FCC">
      <w:pPr>
        <w:pStyle w:val="2"/>
        <w:jc w:val="both"/>
      </w:pPr>
      <w:bookmarkStart w:id="104" w:name="a90"/>
      <w:bookmarkEnd w:id="104"/>
      <w:r>
        <w:t>第</w:t>
      </w:r>
      <w:r>
        <w:t>90</w:t>
      </w:r>
      <w:r w:rsidR="003B6E03">
        <w:t>條</w:t>
      </w:r>
    </w:p>
    <w:p w14:paraId="67342DCE" w14:textId="6D80274E"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當事人、辯護人於第二審法院，不得聲請調查新證據。但有下列情形之一，而有調查之必要者，不在此限：</w:t>
      </w:r>
    </w:p>
    <w:p w14:paraId="03922CFC" w14:textId="77777777" w:rsidR="003B6E03" w:rsidRDefault="000D4C99" w:rsidP="00674FCC">
      <w:pPr>
        <w:ind w:left="142"/>
        <w:jc w:val="both"/>
      </w:pPr>
      <w:r>
        <w:t xml:space="preserve">　　一、有第</w:t>
      </w:r>
      <w:hyperlink w:anchor="a64" w:history="1">
        <w:r w:rsidRPr="006749A6">
          <w:rPr>
            <w:rStyle w:val="a3"/>
            <w:rFonts w:ascii="Times New Roman" w:hAnsi="Times New Roman"/>
          </w:rPr>
          <w:t>六十四</w:t>
        </w:r>
      </w:hyperlink>
      <w:r>
        <w:t>條第一項第一款、第四款或第六款之情形</w:t>
      </w:r>
      <w:r w:rsidR="003B6E03">
        <w:t>。</w:t>
      </w:r>
    </w:p>
    <w:p w14:paraId="4682039A" w14:textId="2090F2D1" w:rsidR="003B6E03" w:rsidRDefault="003B6E03" w:rsidP="00674FCC">
      <w:pPr>
        <w:ind w:left="142"/>
        <w:jc w:val="both"/>
      </w:pPr>
      <w:r>
        <w:t xml:space="preserve">　　二、</w:t>
      </w:r>
      <w:r w:rsidR="000D4C99">
        <w:t>非因過失，未能於第一審聲請</w:t>
      </w:r>
      <w:r>
        <w:t>。</w:t>
      </w:r>
    </w:p>
    <w:p w14:paraId="0B2F33B9" w14:textId="1595FBE2" w:rsidR="003B6E03" w:rsidRDefault="003B6E03" w:rsidP="00674FCC">
      <w:pPr>
        <w:ind w:left="142"/>
        <w:jc w:val="both"/>
      </w:pPr>
      <w:r>
        <w:t xml:space="preserve">　　三、</w:t>
      </w:r>
      <w:r w:rsidR="000D4C99">
        <w:t>於第一審辯論終結後始存在或成立之事實、證據</w:t>
      </w:r>
      <w:r>
        <w:t>。</w:t>
      </w:r>
    </w:p>
    <w:p w14:paraId="6050797E" w14:textId="4B97BAFB" w:rsidR="000D4C99"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有證據能力，並經原審合法調查之證據，第二審法院得逕作為判斷之依據。</w:t>
      </w:r>
    </w:p>
    <w:p w14:paraId="60479A28" w14:textId="0A0A2569" w:rsidR="001D0CEA" w:rsidRPr="001D0CEA" w:rsidRDefault="001D0CEA" w:rsidP="00674FCC">
      <w:pPr>
        <w:ind w:left="142"/>
        <w:jc w:val="both"/>
        <w:rPr>
          <w:color w:val="17365D"/>
        </w:rPr>
      </w:pPr>
      <w:r w:rsidRPr="002727A8">
        <w:rPr>
          <w:rFonts w:ascii="Arial Unicode MS" w:hAnsi="Arial Unicode MS" w:hint="eastAsia"/>
          <w:color w:val="5F5F5F"/>
          <w:sz w:val="18"/>
        </w:rPr>
        <w:t>【具參考價值】</w:t>
      </w:r>
      <w:hyperlink r:id="rId34" w:anchor="w113b2373"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113</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2373</w:t>
        </w:r>
        <w:r>
          <w:rPr>
            <w:rStyle w:val="a3"/>
            <w:rFonts w:ascii="Arial Unicode MS" w:hAnsi="Arial Unicode MS" w:hint="eastAsia"/>
            <w:color w:val="5F5F5F"/>
            <w:sz w:val="18"/>
          </w:rPr>
          <w:t>號判決</w:t>
        </w:r>
      </w:hyperlink>
    </w:p>
    <w:p w14:paraId="6F86B807" w14:textId="77777777" w:rsidR="003B6E03" w:rsidRDefault="000D4C99" w:rsidP="00674FCC">
      <w:pPr>
        <w:pStyle w:val="2"/>
        <w:jc w:val="both"/>
      </w:pPr>
      <w:bookmarkStart w:id="105" w:name="a91"/>
      <w:bookmarkEnd w:id="105"/>
      <w:r>
        <w:lastRenderedPageBreak/>
        <w:t>第</w:t>
      </w:r>
      <w:r>
        <w:t>91</w:t>
      </w:r>
      <w:r w:rsidR="003B6E03">
        <w:t>條</w:t>
      </w:r>
    </w:p>
    <w:p w14:paraId="7BB1E00A" w14:textId="2077063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行國民參與審判之案件經上訴者，上訴審法院應本於國民參與審判制度之宗旨，妥適行使其審查權限。</w:t>
      </w:r>
    </w:p>
    <w:p w14:paraId="16F61F63" w14:textId="0342F264" w:rsidR="007F2E5B" w:rsidRPr="001D0CEA" w:rsidRDefault="007F2E5B" w:rsidP="00674FCC">
      <w:pPr>
        <w:ind w:left="142"/>
        <w:jc w:val="both"/>
      </w:pPr>
      <w:r w:rsidRPr="002727A8">
        <w:rPr>
          <w:rFonts w:ascii="Arial Unicode MS" w:hAnsi="Arial Unicode MS" w:hint="eastAsia"/>
          <w:color w:val="5F5F5F"/>
          <w:sz w:val="18"/>
        </w:rPr>
        <w:t>【具參考價值】</w:t>
      </w:r>
      <w:hyperlink r:id="rId35" w:anchor="w113b1845"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113</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1845</w:t>
        </w:r>
        <w:r>
          <w:rPr>
            <w:rStyle w:val="a3"/>
            <w:rFonts w:ascii="Arial Unicode MS" w:hAnsi="Arial Unicode MS" w:hint="eastAsia"/>
            <w:color w:val="5F5F5F"/>
            <w:sz w:val="18"/>
          </w:rPr>
          <w:t>號判決</w:t>
        </w:r>
      </w:hyperlink>
      <w:r w:rsidR="001D0CEA" w:rsidRPr="0007441D">
        <w:rPr>
          <w:rFonts w:ascii="Arial Unicode MS" w:hAnsi="Arial Unicode MS"/>
          <w:color w:val="626262"/>
          <w:sz w:val="18"/>
          <w:szCs w:val="18"/>
        </w:rPr>
        <w:t>＊</w:t>
      </w:r>
      <w:hyperlink r:id="rId36" w:anchor="w113b2373" w:history="1">
        <w:r w:rsidR="001D0CEA">
          <w:rPr>
            <w:rStyle w:val="a3"/>
            <w:rFonts w:ascii="Arial Unicode MS" w:hAnsi="Arial Unicode MS" w:hint="eastAsia"/>
            <w:color w:val="5F5F5F"/>
            <w:sz w:val="18"/>
          </w:rPr>
          <w:t>最高法院</w:t>
        </w:r>
        <w:r w:rsidR="001D0CEA">
          <w:rPr>
            <w:rStyle w:val="a3"/>
            <w:rFonts w:ascii="Arial Unicode MS" w:hAnsi="Arial Unicode MS" w:hint="eastAsia"/>
            <w:color w:val="5F5F5F"/>
            <w:sz w:val="18"/>
          </w:rPr>
          <w:t>113</w:t>
        </w:r>
        <w:r w:rsidR="001D0CEA">
          <w:rPr>
            <w:rStyle w:val="a3"/>
            <w:rFonts w:ascii="Arial Unicode MS" w:hAnsi="Arial Unicode MS" w:hint="eastAsia"/>
            <w:color w:val="5F5F5F"/>
            <w:sz w:val="18"/>
          </w:rPr>
          <w:t>年度台上字第</w:t>
        </w:r>
        <w:r w:rsidR="001D0CEA">
          <w:rPr>
            <w:rStyle w:val="a3"/>
            <w:rFonts w:ascii="Arial Unicode MS" w:hAnsi="Arial Unicode MS" w:hint="eastAsia"/>
            <w:color w:val="5F5F5F"/>
            <w:sz w:val="18"/>
          </w:rPr>
          <w:t>2373</w:t>
        </w:r>
        <w:r w:rsidR="001D0CEA">
          <w:rPr>
            <w:rStyle w:val="a3"/>
            <w:rFonts w:ascii="Arial Unicode MS" w:hAnsi="Arial Unicode MS" w:hint="eastAsia"/>
            <w:color w:val="5F5F5F"/>
            <w:sz w:val="18"/>
          </w:rPr>
          <w:t>號判決</w:t>
        </w:r>
      </w:hyperlink>
    </w:p>
    <w:p w14:paraId="46C97B1D" w14:textId="77777777" w:rsidR="003B6E03" w:rsidRDefault="000D4C99" w:rsidP="00674FCC">
      <w:pPr>
        <w:pStyle w:val="2"/>
        <w:jc w:val="both"/>
      </w:pPr>
      <w:bookmarkStart w:id="106" w:name="a92"/>
      <w:bookmarkEnd w:id="106"/>
      <w:r>
        <w:t>第</w:t>
      </w:r>
      <w:r>
        <w:t>92</w:t>
      </w:r>
      <w:r w:rsidR="003B6E03">
        <w:t>條</w:t>
      </w:r>
    </w:p>
    <w:p w14:paraId="5BD7A820" w14:textId="70F7EC33"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第二審法院認為上訴有理由，或上訴雖無理由，而原審判決不當或違法者，應將原審判決經上訴之部分撤銷。但關於事實之認定，原審判決非違背經驗法則或論理法則，顯然影響於判決者，第二審法院不得予以撤銷。第二審法院撤銷原審判決者，應就該案件自為判決。但因原審判決有下列情形之一而撤銷者，應以判決將該案件發回原審法院：</w:t>
      </w:r>
    </w:p>
    <w:p w14:paraId="000E3F62" w14:textId="77777777" w:rsidR="003B6E03" w:rsidRDefault="000D4C99" w:rsidP="00674FCC">
      <w:pPr>
        <w:ind w:left="142"/>
        <w:jc w:val="both"/>
      </w:pPr>
      <w:r>
        <w:t xml:space="preserve">　　一、諭知管轄錯誤、免訴、不受理係不當者</w:t>
      </w:r>
      <w:r w:rsidR="003B6E03">
        <w:t>。</w:t>
      </w:r>
    </w:p>
    <w:p w14:paraId="5A7EAEB5" w14:textId="156B55F9" w:rsidR="003B6E03" w:rsidRDefault="003B6E03" w:rsidP="00674FCC">
      <w:pPr>
        <w:ind w:left="142"/>
        <w:jc w:val="both"/>
      </w:pPr>
      <w:r>
        <w:t xml:space="preserve">　　二、</w:t>
      </w:r>
      <w:r w:rsidR="000D4C99">
        <w:t>有刑事訴訟法第</w:t>
      </w:r>
      <w:hyperlink r:id="rId37" w:anchor="a379" w:history="1">
        <w:r w:rsidR="000D4C99" w:rsidRPr="00B323BA">
          <w:rPr>
            <w:rStyle w:val="a3"/>
            <w:rFonts w:ascii="Times New Roman" w:hAnsi="Times New Roman"/>
          </w:rPr>
          <w:t>三百七十九</w:t>
        </w:r>
      </w:hyperlink>
      <w:r w:rsidR="000D4C99">
        <w:t>條第一款、第二款、第六款、第七款或第十三款之情形</w:t>
      </w:r>
      <w:r>
        <w:t>。</w:t>
      </w:r>
    </w:p>
    <w:p w14:paraId="7F8D7367" w14:textId="791F25CF" w:rsidR="003B6E03" w:rsidRDefault="003B6E03" w:rsidP="00674FCC">
      <w:pPr>
        <w:ind w:left="142"/>
        <w:jc w:val="both"/>
      </w:pPr>
      <w:r>
        <w:t xml:space="preserve">　　三、</w:t>
      </w:r>
      <w:r w:rsidR="000D4C99">
        <w:t>已受請求之事項未予判決</w:t>
      </w:r>
      <w:r>
        <w:t>。</w:t>
      </w:r>
    </w:p>
    <w:p w14:paraId="431B0678" w14:textId="1206C578" w:rsidR="003B6E03" w:rsidRDefault="003B6E03" w:rsidP="00674FCC">
      <w:pPr>
        <w:ind w:left="142"/>
        <w:jc w:val="both"/>
      </w:pPr>
      <w:r>
        <w:t xml:space="preserve">　　四、</w:t>
      </w:r>
      <w:r w:rsidR="000D4C99">
        <w:t>諭知無罪，係違背法令而影響於事實之認定，或認定事實錯誤致影響於判決</w:t>
      </w:r>
      <w:r>
        <w:t>。</w:t>
      </w:r>
    </w:p>
    <w:p w14:paraId="35C337F5" w14:textId="6E7A114C" w:rsidR="003B6E03" w:rsidRDefault="003B6E03" w:rsidP="00674FCC">
      <w:pPr>
        <w:ind w:left="142"/>
        <w:jc w:val="both"/>
      </w:pPr>
      <w:r>
        <w:t xml:space="preserve">　　五、</w:t>
      </w:r>
      <w:r w:rsidR="000D4C99">
        <w:t>法院審酌國民參與審判制度之宗旨及被告防禦權之保障，認為適當時</w:t>
      </w:r>
      <w:r>
        <w:t>。</w:t>
      </w:r>
    </w:p>
    <w:p w14:paraId="6DFA1E23" w14:textId="0D21ED85" w:rsidR="00C24145" w:rsidRDefault="003B6E03" w:rsidP="00674FCC">
      <w:pPr>
        <w:ind w:left="142"/>
        <w:jc w:val="both"/>
      </w:pPr>
      <w:r>
        <w:t xml:space="preserve">　　　　</w:t>
      </w:r>
      <w:r w:rsidR="00032FAC" w:rsidRPr="00A22F73">
        <w:rPr>
          <w:rFonts w:ascii="Arial Unicode MS" w:hAnsi="Arial Unicode MS"/>
          <w:color w:val="808000"/>
          <w:sz w:val="18"/>
        </w:rPr>
        <w:t xml:space="preserve">　　　　　　　　　　　　　　　　　　　　　　　　　　　　　　　　　　　　　　　　　　　　</w:t>
      </w:r>
      <w:hyperlink w:anchor="a章節索引" w:history="1">
        <w:r w:rsidR="00032FAC" w:rsidRPr="00A22F73">
          <w:rPr>
            <w:rStyle w:val="a3"/>
            <w:rFonts w:ascii="Arial Unicode MS" w:hAnsi="Arial Unicode MS"/>
            <w:sz w:val="18"/>
          </w:rPr>
          <w:t>回索引</w:t>
        </w:r>
      </w:hyperlink>
      <w:r w:rsidR="00032FAC" w:rsidRPr="00A22F73">
        <w:rPr>
          <w:rFonts w:ascii="Arial Unicode MS" w:hAnsi="Arial Unicode MS" w:hint="eastAsia"/>
          <w:color w:val="808000"/>
          <w:sz w:val="18"/>
        </w:rPr>
        <w:t>〉〉</w:t>
      </w:r>
    </w:p>
    <w:p w14:paraId="414D07AC" w14:textId="053A80A3" w:rsidR="000D4C99" w:rsidRDefault="000D4C99" w:rsidP="00674FCC">
      <w:pPr>
        <w:pStyle w:val="1"/>
        <w:jc w:val="both"/>
      </w:pPr>
      <w:bookmarkStart w:id="107" w:name="_第四章__審理程序_6"/>
      <w:bookmarkEnd w:id="107"/>
      <w:r>
        <w:t>第四章　　審理程序　　第七節　再審</w:t>
      </w:r>
    </w:p>
    <w:p w14:paraId="78A2BBF8" w14:textId="77777777" w:rsidR="003B6E03" w:rsidRDefault="000D4C99" w:rsidP="00674FCC">
      <w:pPr>
        <w:pStyle w:val="2"/>
        <w:jc w:val="both"/>
      </w:pPr>
      <w:bookmarkStart w:id="108" w:name="a93"/>
      <w:bookmarkEnd w:id="108"/>
      <w:r>
        <w:t>第</w:t>
      </w:r>
      <w:r>
        <w:t>93</w:t>
      </w:r>
      <w:r w:rsidR="003B6E03">
        <w:t>條</w:t>
      </w:r>
    </w:p>
    <w:p w14:paraId="7FFB1188" w14:textId="4F697456"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判決確定後，參與判決之國民法官因該案件犯職務上之罪已經證明，且足以影響原判決者，亦得聲請再審</w:t>
      </w:r>
      <w:r w:rsidR="003B6E03">
        <w:t>。</w:t>
      </w:r>
    </w:p>
    <w:p w14:paraId="3104A707" w14:textId="7DAD0239" w:rsidR="0030179C" w:rsidRDefault="003B6E03" w:rsidP="00674FCC">
      <w:pPr>
        <w:ind w:left="142"/>
        <w:jc w:val="both"/>
      </w:pPr>
      <w:r>
        <w:t xml:space="preserve">　　　　</w:t>
      </w:r>
      <w:r w:rsidR="0030179C" w:rsidRPr="00A22F73">
        <w:rPr>
          <w:rFonts w:ascii="Arial Unicode MS" w:hAnsi="Arial Unicode MS"/>
          <w:color w:val="808000"/>
          <w:sz w:val="18"/>
        </w:rPr>
        <w:t xml:space="preserve">　　　　　　　　　　　　　　　　　　　　　　　　　　　　　　　　　　　　　　　　　　　　</w:t>
      </w:r>
      <w:hyperlink w:anchor="a章節索引" w:history="1">
        <w:r w:rsidR="0030179C" w:rsidRPr="00A22F73">
          <w:rPr>
            <w:rStyle w:val="a3"/>
            <w:rFonts w:ascii="Arial Unicode MS" w:hAnsi="Arial Unicode MS"/>
            <w:sz w:val="18"/>
          </w:rPr>
          <w:t>回索引</w:t>
        </w:r>
      </w:hyperlink>
      <w:r w:rsidR="0030179C" w:rsidRPr="00A22F73">
        <w:rPr>
          <w:rFonts w:ascii="Arial Unicode MS" w:hAnsi="Arial Unicode MS" w:hint="eastAsia"/>
          <w:color w:val="808000"/>
          <w:sz w:val="18"/>
        </w:rPr>
        <w:t>〉〉</w:t>
      </w:r>
    </w:p>
    <w:p w14:paraId="040AAF57" w14:textId="32120D81" w:rsidR="000D4C99" w:rsidRDefault="000D4C99" w:rsidP="00674FCC">
      <w:pPr>
        <w:pStyle w:val="1"/>
        <w:jc w:val="both"/>
      </w:pPr>
      <w:bookmarkStart w:id="109" w:name="_第五章__罰"/>
      <w:bookmarkEnd w:id="109"/>
      <w:r>
        <w:t>第五章　　罰</w:t>
      </w:r>
      <w:r w:rsidR="00C24145">
        <w:t xml:space="preserve">　</w:t>
      </w:r>
      <w:r>
        <w:t>則</w:t>
      </w:r>
    </w:p>
    <w:p w14:paraId="5E4625D6" w14:textId="77777777" w:rsidR="003B6E03" w:rsidRDefault="000D4C99" w:rsidP="00674FCC">
      <w:pPr>
        <w:pStyle w:val="2"/>
        <w:jc w:val="both"/>
      </w:pPr>
      <w:bookmarkStart w:id="110" w:name="a94"/>
      <w:bookmarkEnd w:id="110"/>
      <w:r>
        <w:t>第</w:t>
      </w:r>
      <w:r>
        <w:t>94</w:t>
      </w:r>
      <w:r w:rsidR="003B6E03">
        <w:t>條</w:t>
      </w:r>
    </w:p>
    <w:p w14:paraId="65570C92" w14:textId="0671AE1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國民法官、備位國民法官要求、期約或收受賄賂或其他不正利益，而許以不行使其職務或為一定之行使者，處三年以上十年以下有期徒刑，得併科新臺幣二百萬元以下罰金</w:t>
      </w:r>
      <w:r w:rsidR="003B6E03">
        <w:t>。</w:t>
      </w:r>
    </w:p>
    <w:p w14:paraId="2DF08DD7" w14:textId="2EC812BF"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候選國民法官於未為國民法官或備位國民法官時，預以不行使國民法官或備位國民法官之職務或為一定之行使，要求、期約或收受賄賂或其他不正利益，而於為國民法官或備位國民法官後履行者，亦同</w:t>
      </w:r>
      <w:r w:rsidR="003B6E03">
        <w:t>。</w:t>
      </w:r>
    </w:p>
    <w:p w14:paraId="6B80DD7C" w14:textId="7B0A4CF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犯前二項之罪，於犯罪後自首，如有所得並自動繳交全部所得財物者，減輕或免除其刑；因而查獲其他正犯或共犯者，免除其刑。</w:t>
      </w:r>
    </w:p>
    <w:p w14:paraId="2B6D4B29" w14:textId="3E088B8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3B6E03" w:rsidRPr="00C24145">
        <w:rPr>
          <w:color w:val="17365D"/>
        </w:rPr>
        <w:t>犯第一項、第二項之罪，在偵查中自白，如有所得並自動繳交全部所得財物者，減輕其刑；因而查獲其他正犯或共犯者，減輕或免除其刑</w:t>
      </w:r>
      <w:r w:rsidR="003B6E03">
        <w:t>。</w:t>
      </w:r>
    </w:p>
    <w:p w14:paraId="654A9018" w14:textId="017474A5"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5</w:t>
      </w:r>
      <w:r w:rsidR="003B6E03" w:rsidRPr="003B6E03">
        <w:rPr>
          <w:rFonts w:asciiTheme="minorHAnsi" w:hAnsiTheme="minorHAnsi"/>
          <w:color w:val="404040" w:themeColor="text1" w:themeTint="BF"/>
          <w:sz w:val="18"/>
        </w:rPr>
        <w:t>﹞</w:t>
      </w:r>
      <w:r w:rsidR="000D4C99">
        <w:t>犯第一項、第二項之罪，情節輕微，而其所得或所圖得財物或不正利益在新臺幣五萬元以下者，減輕其刑。</w:t>
      </w:r>
    </w:p>
    <w:p w14:paraId="4F2F9567" w14:textId="6F8367B5" w:rsidR="00484716" w:rsidRDefault="00484716" w:rsidP="00674FCC">
      <w:pPr>
        <w:ind w:left="142"/>
        <w:jc w:val="both"/>
      </w:pPr>
      <w:r w:rsidRPr="00FB5399">
        <w:rPr>
          <w:rFonts w:ascii="Arial Unicode MS" w:hAnsi="Arial Unicode MS" w:hint="eastAsia"/>
          <w:color w:val="5F5F5F"/>
          <w:sz w:val="18"/>
        </w:rPr>
        <w:t>【具參考價值】</w:t>
      </w:r>
      <w:hyperlink r:id="rId38" w:anchor="w112b4974"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112</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4974</w:t>
        </w:r>
        <w:r>
          <w:rPr>
            <w:rStyle w:val="a3"/>
            <w:rFonts w:ascii="Arial Unicode MS" w:hAnsi="Arial Unicode MS" w:hint="eastAsia"/>
            <w:color w:val="5F5F5F"/>
            <w:sz w:val="18"/>
          </w:rPr>
          <w:t>號判決</w:t>
        </w:r>
      </w:hyperlink>
    </w:p>
    <w:p w14:paraId="6ABD0498" w14:textId="77777777" w:rsidR="003B6E03" w:rsidRDefault="000D4C99" w:rsidP="00674FCC">
      <w:pPr>
        <w:pStyle w:val="2"/>
        <w:jc w:val="both"/>
      </w:pPr>
      <w:bookmarkStart w:id="111" w:name="a95"/>
      <w:bookmarkEnd w:id="111"/>
      <w:r>
        <w:t>第</w:t>
      </w:r>
      <w:r>
        <w:t>95</w:t>
      </w:r>
      <w:r w:rsidR="003B6E03">
        <w:t>條</w:t>
      </w:r>
    </w:p>
    <w:p w14:paraId="27A50930" w14:textId="2F24B0FC"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對於國民法官、備位國民法官，行求、期約或交付賄賂或其他不正利益，而約其不行使其職務或為一定之行使者，處一年以上七年以下有期徒刑，得併科新臺幣一百萬元以下罰金</w:t>
      </w:r>
      <w:r w:rsidR="003B6E03">
        <w:t>。</w:t>
      </w:r>
    </w:p>
    <w:p w14:paraId="11EDE527" w14:textId="6A4E57D7"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犯前項之罪而自首者，免除其刑；在偵查或審判中自白者，減輕或免除其刑</w:t>
      </w:r>
      <w:r w:rsidR="003B6E03">
        <w:t>。</w:t>
      </w:r>
    </w:p>
    <w:p w14:paraId="6691E638" w14:textId="65C1A452"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犯第一項之罪，情節輕微，而其行求、期約或交付之財物或不正利益在新臺幣五萬元以下者，減輕其刑。</w:t>
      </w:r>
    </w:p>
    <w:p w14:paraId="5EF29046" w14:textId="77777777" w:rsidR="003B6E03" w:rsidRDefault="000D4C99" w:rsidP="00674FCC">
      <w:pPr>
        <w:pStyle w:val="2"/>
        <w:jc w:val="both"/>
      </w:pPr>
      <w:bookmarkStart w:id="112" w:name="a96"/>
      <w:bookmarkEnd w:id="112"/>
      <w:r>
        <w:t>第</w:t>
      </w:r>
      <w:r>
        <w:t>96</w:t>
      </w:r>
      <w:r w:rsidR="003B6E03">
        <w:t>條</w:t>
      </w:r>
    </w:p>
    <w:p w14:paraId="7762BECE" w14:textId="67D5534B"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意圖使國民法官、備位國民法官不行使其職務或為一定之行使，或意圖報復國民法官、備位國民法官之職務</w:t>
      </w:r>
      <w:r w:rsidR="000D4C99">
        <w:lastRenderedPageBreak/>
        <w:t>行使，對其本人或其配偶、八親等內血親、五親等內姻親或家長、家屬，實行犯罪者，依其所犯之罪，加重其刑至二分之一。</w:t>
      </w:r>
    </w:p>
    <w:p w14:paraId="35643393" w14:textId="77777777" w:rsidR="003B6E03" w:rsidRDefault="000D4C99" w:rsidP="00674FCC">
      <w:pPr>
        <w:pStyle w:val="2"/>
        <w:jc w:val="both"/>
      </w:pPr>
      <w:bookmarkStart w:id="113" w:name="a97"/>
      <w:bookmarkEnd w:id="113"/>
      <w:r>
        <w:t>第</w:t>
      </w:r>
      <w:r>
        <w:t>97</w:t>
      </w:r>
      <w:r w:rsidR="003B6E03">
        <w:t>條</w:t>
      </w:r>
    </w:p>
    <w:p w14:paraId="16176B0C" w14:textId="7AE5424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現任或曾任國民法官、備位國民法官之人，無正當理由而洩漏評議秘密者，處一年以下有期徒刑、拘役或科新臺幣十萬元以下罰金</w:t>
      </w:r>
      <w:r w:rsidR="003B6E03">
        <w:t>。</w:t>
      </w:r>
    </w:p>
    <w:p w14:paraId="611C4B6E" w14:textId="0B47766C"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除有特別規定者外，現任或曾任國民法官、備位國民法官之人，無正當理由而洩漏其他職務上知悉之秘密者，處六月以下有期徒刑、拘役或科新臺幣八萬元以下罰金。</w:t>
      </w:r>
    </w:p>
    <w:p w14:paraId="584434DD" w14:textId="77777777" w:rsidR="003B6E03" w:rsidRDefault="000D4C99" w:rsidP="00674FCC">
      <w:pPr>
        <w:pStyle w:val="2"/>
        <w:jc w:val="both"/>
      </w:pPr>
      <w:bookmarkStart w:id="114" w:name="a98"/>
      <w:bookmarkEnd w:id="114"/>
      <w:r>
        <w:t>第</w:t>
      </w:r>
      <w:r>
        <w:t>98</w:t>
      </w:r>
      <w:r w:rsidR="003B6E03">
        <w:t>條</w:t>
      </w:r>
    </w:p>
    <w:p w14:paraId="038223A6" w14:textId="662C6F1F"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除有特別規定者外，有下列情形之一者，處六月以下有期徒刑、拘役或科新臺幣八萬元以下罰金：</w:t>
      </w:r>
    </w:p>
    <w:p w14:paraId="362AF9E0" w14:textId="77777777" w:rsidR="003B6E03" w:rsidRDefault="000D4C99" w:rsidP="00674FCC">
      <w:pPr>
        <w:ind w:left="142"/>
        <w:jc w:val="both"/>
      </w:pPr>
      <w:r>
        <w:t xml:space="preserve">　　一、無正當理由而違反第</w:t>
      </w:r>
      <w:hyperlink w:anchor="a19" w:history="1">
        <w:r w:rsidRPr="006749A6">
          <w:rPr>
            <w:rStyle w:val="a3"/>
            <w:rFonts w:ascii="Times New Roman" w:hAnsi="Times New Roman"/>
          </w:rPr>
          <w:t>十九</w:t>
        </w:r>
      </w:hyperlink>
      <w:r>
        <w:t>條第四項、第</w:t>
      </w:r>
      <w:hyperlink w:anchor="a26" w:history="1">
        <w:r w:rsidRPr="006749A6">
          <w:rPr>
            <w:rStyle w:val="a3"/>
            <w:rFonts w:ascii="Times New Roman" w:hAnsi="Times New Roman"/>
          </w:rPr>
          <w:t>二十六</w:t>
        </w:r>
      </w:hyperlink>
      <w:r>
        <w:t>條第五項或第</w:t>
      </w:r>
      <w:hyperlink w:anchor="a40" w:history="1">
        <w:r w:rsidRPr="006749A6">
          <w:rPr>
            <w:rStyle w:val="a3"/>
            <w:rFonts w:ascii="Times New Roman" w:hAnsi="Times New Roman"/>
          </w:rPr>
          <w:t>四十</w:t>
        </w:r>
      </w:hyperlink>
      <w:r>
        <w:t>條第一項不得洩漏所知悉秘密之規定</w:t>
      </w:r>
      <w:r w:rsidR="003B6E03">
        <w:t>。</w:t>
      </w:r>
    </w:p>
    <w:p w14:paraId="6AFE007D" w14:textId="0B26D68E" w:rsidR="000D4C99" w:rsidRDefault="003B6E03" w:rsidP="00674FCC">
      <w:pPr>
        <w:ind w:left="142"/>
        <w:jc w:val="both"/>
      </w:pPr>
      <w:r>
        <w:t xml:space="preserve">　　二、</w:t>
      </w:r>
      <w:r w:rsidR="000D4C99">
        <w:t>意圖影響審判而違反第</w:t>
      </w:r>
      <w:hyperlink w:anchor="a41" w:history="1">
        <w:r w:rsidR="000D4C99" w:rsidRPr="006749A6">
          <w:rPr>
            <w:rStyle w:val="a3"/>
            <w:rFonts w:ascii="Times New Roman" w:hAnsi="Times New Roman"/>
          </w:rPr>
          <w:t>四十一</w:t>
        </w:r>
      </w:hyperlink>
      <w:r w:rsidR="000D4C99">
        <w:t>條第二項不得刺探依法應予保密事項之規定。</w:t>
      </w:r>
    </w:p>
    <w:p w14:paraId="2AA1DB87" w14:textId="77777777" w:rsidR="003B6E03" w:rsidRDefault="000D4C99" w:rsidP="00674FCC">
      <w:pPr>
        <w:pStyle w:val="2"/>
        <w:jc w:val="both"/>
      </w:pPr>
      <w:bookmarkStart w:id="115" w:name="a99"/>
      <w:bookmarkEnd w:id="115"/>
      <w:r>
        <w:t>第</w:t>
      </w:r>
      <w:r>
        <w:t>99</w:t>
      </w:r>
      <w:r w:rsidR="003B6E03">
        <w:t>條</w:t>
      </w:r>
    </w:p>
    <w:p w14:paraId="5FCB4B50" w14:textId="65A82CBD"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候選國民法官有下列情形之一者，得處新臺幣三萬元以下罰鍰：</w:t>
      </w:r>
    </w:p>
    <w:p w14:paraId="44D862D8" w14:textId="77777777" w:rsidR="003B6E03" w:rsidRDefault="000D4C99" w:rsidP="00674FCC">
      <w:pPr>
        <w:ind w:left="142"/>
        <w:jc w:val="both"/>
      </w:pPr>
      <w:r>
        <w:t xml:space="preserve">　　一、明知為不實之事項，而填載於候選國民法官調查表，提出於法院</w:t>
      </w:r>
      <w:r w:rsidR="003B6E03">
        <w:t>。</w:t>
      </w:r>
    </w:p>
    <w:p w14:paraId="228729D6" w14:textId="70ADB53F" w:rsidR="003B6E03" w:rsidRDefault="003B6E03" w:rsidP="00674FCC">
      <w:pPr>
        <w:ind w:left="142"/>
        <w:jc w:val="both"/>
      </w:pPr>
      <w:r>
        <w:t xml:space="preserve">　　二、</w:t>
      </w:r>
      <w:r w:rsidR="000D4C99">
        <w:t>經合法通知，無正當理由而不於國民法官選任期日到場</w:t>
      </w:r>
      <w:r>
        <w:t>。</w:t>
      </w:r>
    </w:p>
    <w:p w14:paraId="333FE355" w14:textId="53FBFA16" w:rsidR="000D4C99" w:rsidRDefault="003B6E03" w:rsidP="00674FCC">
      <w:pPr>
        <w:ind w:left="142"/>
        <w:jc w:val="both"/>
      </w:pPr>
      <w:r>
        <w:t xml:space="preserve">　　三、</w:t>
      </w:r>
      <w:r w:rsidR="000D4C99">
        <w:t>於國民法官選任期日為虛偽之陳述或無正當理由拒絕陳述。</w:t>
      </w:r>
    </w:p>
    <w:p w14:paraId="1A6EDDD8" w14:textId="77777777" w:rsidR="003B6E03" w:rsidRDefault="000D4C99" w:rsidP="00674FCC">
      <w:pPr>
        <w:pStyle w:val="2"/>
        <w:jc w:val="both"/>
      </w:pPr>
      <w:bookmarkStart w:id="116" w:name="a100"/>
      <w:bookmarkEnd w:id="116"/>
      <w:r>
        <w:t>第</w:t>
      </w:r>
      <w:r>
        <w:t>100</w:t>
      </w:r>
      <w:r w:rsidR="003B6E03">
        <w:t>條</w:t>
      </w:r>
    </w:p>
    <w:p w14:paraId="021F588C" w14:textId="65E9883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國民法官、備位國民法官拒絕宣誓者，得處新臺幣三萬元以下罰鍰。備位國民法官經遞補為國民法官，拒絕另行宣誓者，亦同。</w:t>
      </w:r>
    </w:p>
    <w:p w14:paraId="0A62CE82" w14:textId="77777777" w:rsidR="003B6E03" w:rsidRDefault="000D4C99" w:rsidP="00674FCC">
      <w:pPr>
        <w:pStyle w:val="2"/>
        <w:jc w:val="both"/>
      </w:pPr>
      <w:bookmarkStart w:id="117" w:name="a101"/>
      <w:bookmarkEnd w:id="117"/>
      <w:r>
        <w:t>第</w:t>
      </w:r>
      <w:r>
        <w:t>101</w:t>
      </w:r>
      <w:r w:rsidR="003B6E03">
        <w:t>條</w:t>
      </w:r>
    </w:p>
    <w:p w14:paraId="481EEB85" w14:textId="0CE3480F"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無正當理由而有下列情形之一者，得處新臺幣三萬元以下罰鍰：</w:t>
      </w:r>
    </w:p>
    <w:p w14:paraId="2183CF7D" w14:textId="77777777" w:rsidR="003B6E03" w:rsidRDefault="000D4C99" w:rsidP="00674FCC">
      <w:pPr>
        <w:ind w:left="142"/>
        <w:jc w:val="both"/>
      </w:pPr>
      <w:r>
        <w:t xml:space="preserve">　　一、國民法官不於審判期日或終局評議時到場</w:t>
      </w:r>
      <w:r w:rsidR="003B6E03">
        <w:t>。</w:t>
      </w:r>
    </w:p>
    <w:p w14:paraId="03C97945" w14:textId="5EE9336E" w:rsidR="003B6E03" w:rsidRDefault="003B6E03" w:rsidP="00674FCC">
      <w:pPr>
        <w:ind w:left="142"/>
        <w:jc w:val="both"/>
      </w:pPr>
      <w:r>
        <w:t xml:space="preserve">　　二、</w:t>
      </w:r>
      <w:r w:rsidR="000D4C99">
        <w:t>國民法官於終局評議時，以拒絕陳述或其他方式拒絕履行其職務</w:t>
      </w:r>
      <w:r>
        <w:t>。</w:t>
      </w:r>
    </w:p>
    <w:p w14:paraId="6F44C5D1" w14:textId="6CBE3232" w:rsidR="000D4C99" w:rsidRDefault="003B6E03" w:rsidP="00674FCC">
      <w:pPr>
        <w:ind w:left="142"/>
        <w:jc w:val="both"/>
      </w:pPr>
      <w:r>
        <w:t xml:space="preserve">　　三、</w:t>
      </w:r>
      <w:r w:rsidR="000D4C99">
        <w:t>備位國民法官不於審判期日到場。</w:t>
      </w:r>
    </w:p>
    <w:p w14:paraId="01589B35" w14:textId="77777777" w:rsidR="003B6E03" w:rsidRDefault="000D4C99" w:rsidP="00674FCC">
      <w:pPr>
        <w:pStyle w:val="2"/>
        <w:jc w:val="both"/>
      </w:pPr>
      <w:bookmarkStart w:id="118" w:name="a102"/>
      <w:bookmarkEnd w:id="118"/>
      <w:r>
        <w:t>第</w:t>
      </w:r>
      <w:r>
        <w:t>102</w:t>
      </w:r>
      <w:r w:rsidR="003B6E03">
        <w:t>條</w:t>
      </w:r>
    </w:p>
    <w:p w14:paraId="286E4544" w14:textId="494B5199"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國民法官、備位國民法官違反審判長所發維持秩序之命令，致妨害審判期日訴訟程序之進行，經制止不聽者，得處新臺幣三萬元以下罰鍰。</w:t>
      </w:r>
    </w:p>
    <w:p w14:paraId="7962451E" w14:textId="77777777" w:rsidR="003B6E03" w:rsidRDefault="000D4C99" w:rsidP="00674FCC">
      <w:pPr>
        <w:pStyle w:val="2"/>
        <w:jc w:val="both"/>
      </w:pPr>
      <w:bookmarkStart w:id="119" w:name="a103"/>
      <w:bookmarkEnd w:id="119"/>
      <w:r>
        <w:t>第</w:t>
      </w:r>
      <w:r>
        <w:t>103</w:t>
      </w:r>
      <w:r w:rsidR="003B6E03">
        <w:t>條</w:t>
      </w:r>
    </w:p>
    <w:p w14:paraId="6D310DBC" w14:textId="5D761AD1"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前四條罰鍰之處分，由國民法官法庭之法官三人合議裁定之</w:t>
      </w:r>
      <w:r w:rsidR="003B6E03">
        <w:t>。</w:t>
      </w:r>
    </w:p>
    <w:p w14:paraId="6239C5DC" w14:textId="05051187" w:rsidR="003B6E03"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前項裁定，得抗告</w:t>
      </w:r>
      <w:r w:rsidR="003B6E03">
        <w:rPr>
          <w:color w:val="17365D"/>
        </w:rPr>
        <w:t>。</w:t>
      </w:r>
    </w:p>
    <w:p w14:paraId="4170026C" w14:textId="09FD6E53" w:rsidR="00C24145" w:rsidRDefault="003B6E03" w:rsidP="00674FCC">
      <w:pPr>
        <w:ind w:left="142"/>
        <w:jc w:val="both"/>
      </w:pPr>
      <w:r>
        <w:rPr>
          <w:color w:val="17365D"/>
        </w:rPr>
        <w:t xml:space="preserve">　　　　</w:t>
      </w:r>
      <w:r w:rsidR="0030179C" w:rsidRPr="00A22F73">
        <w:rPr>
          <w:rFonts w:ascii="Arial Unicode MS" w:hAnsi="Arial Unicode MS"/>
          <w:color w:val="808000"/>
          <w:sz w:val="18"/>
        </w:rPr>
        <w:t xml:space="preserve">　　　　　　　　　　　　　　　　　　　　　　　　　　　　　　　　　　　　　　　　　　　　</w:t>
      </w:r>
      <w:hyperlink w:anchor="a章節索引" w:history="1">
        <w:r w:rsidR="0030179C" w:rsidRPr="00A22F73">
          <w:rPr>
            <w:rStyle w:val="a3"/>
            <w:rFonts w:ascii="Arial Unicode MS" w:hAnsi="Arial Unicode MS"/>
            <w:sz w:val="18"/>
          </w:rPr>
          <w:t>回索引</w:t>
        </w:r>
      </w:hyperlink>
      <w:r w:rsidR="0030179C" w:rsidRPr="00A22F73">
        <w:rPr>
          <w:rFonts w:ascii="Arial Unicode MS" w:hAnsi="Arial Unicode MS" w:hint="eastAsia"/>
          <w:color w:val="808000"/>
          <w:sz w:val="18"/>
        </w:rPr>
        <w:t>〉〉</w:t>
      </w:r>
    </w:p>
    <w:p w14:paraId="7485E6E2" w14:textId="77777777" w:rsidR="000D4C99" w:rsidRDefault="000D4C99" w:rsidP="00674FCC">
      <w:pPr>
        <w:pStyle w:val="1"/>
        <w:jc w:val="both"/>
      </w:pPr>
      <w:bookmarkStart w:id="120" w:name="_第六章__國民參與審判制度成效評估"/>
      <w:bookmarkEnd w:id="120"/>
      <w:r>
        <w:t>第六章　　國民參與審判制度成效評估</w:t>
      </w:r>
    </w:p>
    <w:p w14:paraId="53ADBB74" w14:textId="77777777" w:rsidR="003B6E03" w:rsidRDefault="000D4C99" w:rsidP="00674FCC">
      <w:pPr>
        <w:pStyle w:val="2"/>
        <w:jc w:val="both"/>
      </w:pPr>
      <w:bookmarkStart w:id="121" w:name="a104"/>
      <w:bookmarkEnd w:id="121"/>
      <w:r>
        <w:t>第</w:t>
      </w:r>
      <w:r>
        <w:t>104</w:t>
      </w:r>
      <w:r w:rsidR="003B6E03">
        <w:t>條</w:t>
      </w:r>
    </w:p>
    <w:p w14:paraId="5E316A0D" w14:textId="39AA2FB1"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國民參與審判制度成效評估期間為自中華民國一百十二年一月一日起六年；必要時，得由司法院延長或縮短之。</w:t>
      </w:r>
    </w:p>
    <w:p w14:paraId="48DB780B" w14:textId="77777777" w:rsidR="003B6E03" w:rsidRDefault="000D4C99" w:rsidP="00674FCC">
      <w:pPr>
        <w:pStyle w:val="2"/>
        <w:jc w:val="both"/>
      </w:pPr>
      <w:bookmarkStart w:id="122" w:name="a105"/>
      <w:bookmarkEnd w:id="122"/>
      <w:r>
        <w:lastRenderedPageBreak/>
        <w:t>第</w:t>
      </w:r>
      <w:r>
        <w:t>105</w:t>
      </w:r>
      <w:r w:rsidR="003B6E03">
        <w:t>條</w:t>
      </w:r>
    </w:p>
    <w:p w14:paraId="33DAD015" w14:textId="4CE67E4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本法施行後，司法院應即成立國民參與審判制度成效評估委員會（以下簡稱成效評估委員會），進行必要之調查研究，並於每年就前一年度制度施行之成效，提出成效評估報告</w:t>
      </w:r>
      <w:r w:rsidR="003B6E03">
        <w:t>。</w:t>
      </w:r>
    </w:p>
    <w:p w14:paraId="2BD52E13" w14:textId="6E625A7D"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0D4C99" w:rsidRPr="00C24145">
        <w:rPr>
          <w:color w:val="17365D"/>
        </w:rPr>
        <w:t>成效評估委員會應於成效評估期間屆滿後一年內提出總結報告，其內容包括國民參與審判制度施行狀況之整體性評估，以及未來法律修正、有關配套措施之建議。</w:t>
      </w:r>
    </w:p>
    <w:p w14:paraId="412EE034" w14:textId="77777777" w:rsidR="003B6E03" w:rsidRDefault="000D4C99" w:rsidP="00674FCC">
      <w:pPr>
        <w:pStyle w:val="2"/>
        <w:jc w:val="both"/>
      </w:pPr>
      <w:bookmarkStart w:id="123" w:name="a106"/>
      <w:bookmarkEnd w:id="123"/>
      <w:r>
        <w:t>第</w:t>
      </w:r>
      <w:r>
        <w:t>106</w:t>
      </w:r>
      <w:r w:rsidR="003B6E03">
        <w:t>條</w:t>
      </w:r>
    </w:p>
    <w:p w14:paraId="3554E298" w14:textId="1917F1C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成效評估委員會置委員十五人，以司法院院長為當然委員並任主席，與司法院代表二人、法務部代表一人，及法官、檢察官、律師之代表各二人，學者專家及社會公正人士共五人組成。委員任一性別比例，不得少於三分之一</w:t>
      </w:r>
      <w:r w:rsidR="003B6E03">
        <w:t>。</w:t>
      </w:r>
    </w:p>
    <w:p w14:paraId="183B0888" w14:textId="058D7190"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前項學者專家及社會公正人士，應包含具法律及法律以外專業背景學者專家共三人，及其他背景之社會公正人士二人</w:t>
      </w:r>
      <w:r w:rsidR="003B6E03">
        <w:t>。</w:t>
      </w:r>
    </w:p>
    <w:p w14:paraId="795121F1" w14:textId="229592B9"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3B6E03">
        <w:t>成效評估委員會委員均為無給職，除司法院院長外，應自本法施行日前，以下列方式產生：</w:t>
      </w:r>
    </w:p>
    <w:p w14:paraId="38901CA1" w14:textId="77777777" w:rsidR="003B6E03" w:rsidRDefault="003B6E03" w:rsidP="00674FCC">
      <w:pPr>
        <w:ind w:left="142"/>
        <w:jc w:val="both"/>
      </w:pPr>
      <w:r>
        <w:t xml:space="preserve">　　一、司法院代表由司法院院長就所屬人員中指派兼任之，並依職務進退。</w:t>
      </w:r>
    </w:p>
    <w:p w14:paraId="0BA70C8E" w14:textId="77777777" w:rsidR="003B6E03" w:rsidRDefault="003B6E03" w:rsidP="00674FCC">
      <w:pPr>
        <w:ind w:left="142"/>
        <w:jc w:val="both"/>
      </w:pPr>
      <w:r>
        <w:t xml:space="preserve">　　二、法務部代表由法務部部長就所屬人員中指派兼任之，並依職務進退。</w:t>
      </w:r>
    </w:p>
    <w:p w14:paraId="229962AD" w14:textId="77777777" w:rsidR="003B6E03" w:rsidRDefault="003B6E03" w:rsidP="00674FCC">
      <w:pPr>
        <w:ind w:left="142"/>
        <w:jc w:val="both"/>
      </w:pPr>
      <w:r>
        <w:t xml:space="preserve">　　三、法官、檢察官、律師代表由司法院、法務部、全國律師聯合會分別各自推舉。</w:t>
      </w:r>
    </w:p>
    <w:p w14:paraId="672284A4" w14:textId="716B5E70" w:rsidR="003B6E03" w:rsidRDefault="003B6E03" w:rsidP="00674FCC">
      <w:pPr>
        <w:ind w:left="142"/>
        <w:jc w:val="both"/>
      </w:pPr>
      <w:r>
        <w:t xml:space="preserve">　　四、學者專家及社會公正人士代表，由司法院院長、司法院及法務部代表，與前款法官、檢察官、律師代表共同推選之。</w:t>
      </w:r>
    </w:p>
    <w:p w14:paraId="62C87C65" w14:textId="7ECF5E70" w:rsidR="000D4C99" w:rsidRPr="00C24145" w:rsidRDefault="005560B7" w:rsidP="00674FCC">
      <w:pPr>
        <w:ind w:left="142"/>
        <w:jc w:val="both"/>
        <w:rPr>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4</w:t>
      </w:r>
      <w:r w:rsidR="003B6E03" w:rsidRPr="003B6E03">
        <w:rPr>
          <w:rFonts w:asciiTheme="minorHAnsi" w:hAnsiTheme="minorHAnsi"/>
          <w:color w:val="404040" w:themeColor="text1" w:themeTint="BF"/>
          <w:sz w:val="18"/>
        </w:rPr>
        <w:t>﹞</w:t>
      </w:r>
      <w:r w:rsidR="000D4C99" w:rsidRPr="00C24145">
        <w:rPr>
          <w:color w:val="17365D"/>
        </w:rPr>
        <w:t>委員出缺時，司法院院長、司法院代表、法務部代表及法官、檢察官、律師代表依原產生方式遞補缺額，學者專家及社會公正人士代表由現任委員共同推選遞補其缺額。</w:t>
      </w:r>
    </w:p>
    <w:p w14:paraId="5E8EDD35" w14:textId="77777777" w:rsidR="003B6E03" w:rsidRDefault="000D4C99" w:rsidP="00674FCC">
      <w:pPr>
        <w:pStyle w:val="2"/>
        <w:jc w:val="both"/>
      </w:pPr>
      <w:bookmarkStart w:id="124" w:name="a107"/>
      <w:bookmarkEnd w:id="124"/>
      <w:r>
        <w:t>第</w:t>
      </w:r>
      <w:r>
        <w:t>107</w:t>
      </w:r>
      <w:r w:rsidR="003B6E03">
        <w:t>條</w:t>
      </w:r>
    </w:p>
    <w:p w14:paraId="029D0F15" w14:textId="28A2F823"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成效評估委員會置執行秘書一人、助理二人至五人；執行秘書由司法院指定或聘用之，助理由司法院聘用之</w:t>
      </w:r>
      <w:r w:rsidR="003B6E03">
        <w:t>。</w:t>
      </w:r>
    </w:p>
    <w:p w14:paraId="2428F53A" w14:textId="5D01BAEB"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執行秘書承主席之命蒐集資料、籌備會議及辦理其他經常性事務</w:t>
      </w:r>
      <w:r w:rsidR="003B6E03">
        <w:t>。</w:t>
      </w:r>
    </w:p>
    <w:p w14:paraId="32EB381B" w14:textId="2FD7B8E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執行秘書及助理之聘用、業務、管理及</w:t>
      </w:r>
      <w:hyperlink r:id="rId39" w:history="1">
        <w:r w:rsidR="000D4C99" w:rsidRPr="00C61BA4">
          <w:rPr>
            <w:rStyle w:val="a3"/>
            <w:rFonts w:ascii="Times New Roman" w:hAnsi="Times New Roman"/>
          </w:rPr>
          <w:t>考核辦法</w:t>
        </w:r>
      </w:hyperlink>
      <w:r w:rsidR="000D4C99">
        <w:t>，由司法院定之。</w:t>
      </w:r>
    </w:p>
    <w:p w14:paraId="29CE3341" w14:textId="77777777" w:rsidR="003B6E03" w:rsidRDefault="000D4C99" w:rsidP="00674FCC">
      <w:pPr>
        <w:pStyle w:val="2"/>
        <w:jc w:val="both"/>
      </w:pPr>
      <w:bookmarkStart w:id="125" w:name="a108"/>
      <w:bookmarkEnd w:id="125"/>
      <w:r>
        <w:t>第</w:t>
      </w:r>
      <w:r>
        <w:t>108</w:t>
      </w:r>
      <w:r w:rsidR="003B6E03">
        <w:t>條</w:t>
      </w:r>
    </w:p>
    <w:p w14:paraId="316BFB67" w14:textId="15AED46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為評估制度必要，司法院得聘用適當人員為研究員。但不得逾六人</w:t>
      </w:r>
      <w:r w:rsidR="003B6E03">
        <w:t>。</w:t>
      </w:r>
    </w:p>
    <w:p w14:paraId="3D9991F7" w14:textId="5D3A9895"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2</w:t>
      </w:r>
      <w:r w:rsidR="003B6E03" w:rsidRPr="003B6E03">
        <w:rPr>
          <w:rFonts w:asciiTheme="minorHAnsi" w:hAnsiTheme="minorHAnsi"/>
          <w:color w:val="404040" w:themeColor="text1" w:themeTint="BF"/>
          <w:sz w:val="18"/>
        </w:rPr>
        <w:t>﹞</w:t>
      </w:r>
      <w:r w:rsidR="003B6E03" w:rsidRPr="00C24145">
        <w:rPr>
          <w:color w:val="17365D"/>
        </w:rPr>
        <w:t>研究員承成效評估委員會之命，執行有關國民參與審判制度成效評估之研究</w:t>
      </w:r>
      <w:r w:rsidR="003B6E03">
        <w:t>。</w:t>
      </w:r>
    </w:p>
    <w:p w14:paraId="5A87DAEB" w14:textId="04A6BBCC"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3</w:t>
      </w:r>
      <w:r w:rsidR="003B6E03" w:rsidRPr="003B6E03">
        <w:rPr>
          <w:rFonts w:asciiTheme="minorHAnsi" w:hAnsiTheme="minorHAnsi"/>
          <w:color w:val="404040" w:themeColor="text1" w:themeTint="BF"/>
          <w:sz w:val="18"/>
        </w:rPr>
        <w:t>﹞</w:t>
      </w:r>
      <w:r w:rsidR="000D4C99">
        <w:t>研究員之聘用、業務及</w:t>
      </w:r>
      <w:hyperlink r:id="rId40" w:history="1">
        <w:r w:rsidR="000D4C99" w:rsidRPr="00C61BA4">
          <w:rPr>
            <w:rStyle w:val="a3"/>
            <w:rFonts w:ascii="Times New Roman" w:hAnsi="Times New Roman"/>
          </w:rPr>
          <w:t>考核辦法</w:t>
        </w:r>
      </w:hyperlink>
      <w:r w:rsidR="000D4C99">
        <w:t>，由司法院定之。</w:t>
      </w:r>
    </w:p>
    <w:p w14:paraId="351EFA8F" w14:textId="77777777" w:rsidR="003B6E03" w:rsidRDefault="000D4C99" w:rsidP="00674FCC">
      <w:pPr>
        <w:pStyle w:val="2"/>
        <w:jc w:val="both"/>
      </w:pPr>
      <w:bookmarkStart w:id="126" w:name="a109"/>
      <w:bookmarkEnd w:id="126"/>
      <w:r>
        <w:t>第</w:t>
      </w:r>
      <w:r>
        <w:t>109</w:t>
      </w:r>
      <w:r w:rsidR="003B6E03">
        <w:t>條</w:t>
      </w:r>
    </w:p>
    <w:p w14:paraId="27ACBDC3" w14:textId="7AA3880A"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司法院應編列預算，支應成效評估委員會運作所必要之費用。</w:t>
      </w:r>
    </w:p>
    <w:p w14:paraId="1C2AFC79" w14:textId="77777777" w:rsidR="003B6E03" w:rsidRDefault="000D4C99" w:rsidP="00674FCC">
      <w:pPr>
        <w:pStyle w:val="2"/>
        <w:jc w:val="both"/>
      </w:pPr>
      <w:bookmarkStart w:id="127" w:name="a110"/>
      <w:bookmarkEnd w:id="127"/>
      <w:r>
        <w:t>第</w:t>
      </w:r>
      <w:r>
        <w:t>110</w:t>
      </w:r>
      <w:r w:rsidR="003B6E03">
        <w:t>條</w:t>
      </w:r>
    </w:p>
    <w:p w14:paraId="3226B2BE" w14:textId="04CD8074" w:rsidR="003B6E03"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成效評估委員會之</w:t>
      </w:r>
      <w:hyperlink r:id="rId41" w:history="1">
        <w:r w:rsidR="000D4C99" w:rsidRPr="00780CEF">
          <w:rPr>
            <w:rStyle w:val="a3"/>
            <w:rFonts w:ascii="Times New Roman" w:hAnsi="Times New Roman"/>
          </w:rPr>
          <w:t>組織規程</w:t>
        </w:r>
      </w:hyperlink>
      <w:r w:rsidR="000D4C99">
        <w:t>，由司法院定之</w:t>
      </w:r>
      <w:r w:rsidR="003B6E03">
        <w:t>。</w:t>
      </w:r>
    </w:p>
    <w:p w14:paraId="1A1828D0" w14:textId="3544E928" w:rsidR="0030179C" w:rsidRDefault="003B6E03" w:rsidP="00674FCC">
      <w:pPr>
        <w:ind w:left="142"/>
        <w:jc w:val="both"/>
      </w:pPr>
      <w:r>
        <w:t xml:space="preserve">　　　　</w:t>
      </w:r>
      <w:r w:rsidR="0030179C" w:rsidRPr="00A22F73">
        <w:rPr>
          <w:rFonts w:ascii="Arial Unicode MS" w:hAnsi="Arial Unicode MS"/>
          <w:color w:val="808000"/>
          <w:sz w:val="18"/>
        </w:rPr>
        <w:t xml:space="preserve">　　　　　　　　　　　　　　　　　　　　　　　　　　　　　　　　　　　　　　　　　　　　</w:t>
      </w:r>
      <w:hyperlink w:anchor="a章節索引" w:history="1">
        <w:r w:rsidR="0030179C" w:rsidRPr="00A22F73">
          <w:rPr>
            <w:rStyle w:val="a3"/>
            <w:rFonts w:ascii="Arial Unicode MS" w:hAnsi="Arial Unicode MS"/>
            <w:sz w:val="18"/>
          </w:rPr>
          <w:t>回索引</w:t>
        </w:r>
      </w:hyperlink>
      <w:r w:rsidR="0030179C" w:rsidRPr="00A22F73">
        <w:rPr>
          <w:rFonts w:ascii="Arial Unicode MS" w:hAnsi="Arial Unicode MS" w:hint="eastAsia"/>
          <w:color w:val="808000"/>
          <w:sz w:val="18"/>
        </w:rPr>
        <w:t>〉〉</w:t>
      </w:r>
    </w:p>
    <w:p w14:paraId="24DC874F" w14:textId="63AB317D" w:rsidR="000D4C99" w:rsidRDefault="000D4C99" w:rsidP="00674FCC">
      <w:pPr>
        <w:pStyle w:val="1"/>
        <w:jc w:val="both"/>
      </w:pPr>
      <w:bookmarkStart w:id="128" w:name="_第七章__附則"/>
      <w:bookmarkEnd w:id="128"/>
      <w:r>
        <w:t>第七章　　附</w:t>
      </w:r>
      <w:r w:rsidR="0030179C">
        <w:t xml:space="preserve">　</w:t>
      </w:r>
      <w:r>
        <w:t>則</w:t>
      </w:r>
    </w:p>
    <w:p w14:paraId="675A373D" w14:textId="77777777" w:rsidR="003B6E03" w:rsidRDefault="000D4C99" w:rsidP="00674FCC">
      <w:pPr>
        <w:pStyle w:val="2"/>
        <w:jc w:val="both"/>
      </w:pPr>
      <w:bookmarkStart w:id="129" w:name="a111"/>
      <w:bookmarkEnd w:id="129"/>
      <w:r>
        <w:t>第</w:t>
      </w:r>
      <w:r>
        <w:t>111</w:t>
      </w:r>
      <w:r w:rsidR="003B6E03">
        <w:t>條</w:t>
      </w:r>
    </w:p>
    <w:p w14:paraId="129DE1C3" w14:textId="328B6CA8"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本法</w:t>
      </w:r>
      <w:hyperlink r:id="rId42" w:history="1">
        <w:r w:rsidR="000D4C99" w:rsidRPr="008949B0">
          <w:rPr>
            <w:rStyle w:val="a3"/>
            <w:rFonts w:ascii="Times New Roman" w:hAnsi="Times New Roman"/>
          </w:rPr>
          <w:t>施行細則</w:t>
        </w:r>
      </w:hyperlink>
      <w:r w:rsidR="000D4C99">
        <w:t>，由司法院會同行政院定之。</w:t>
      </w:r>
    </w:p>
    <w:p w14:paraId="657ACC94" w14:textId="77777777" w:rsidR="003B6E03" w:rsidRDefault="000D4C99" w:rsidP="00674FCC">
      <w:pPr>
        <w:pStyle w:val="2"/>
        <w:jc w:val="both"/>
      </w:pPr>
      <w:bookmarkStart w:id="130" w:name="a112"/>
      <w:bookmarkEnd w:id="130"/>
      <w:r>
        <w:lastRenderedPageBreak/>
        <w:t>第</w:t>
      </w:r>
      <w:r>
        <w:t>112</w:t>
      </w:r>
      <w:r w:rsidR="003B6E03">
        <w:t>條</w:t>
      </w:r>
    </w:p>
    <w:p w14:paraId="403A4568" w14:textId="384E0892" w:rsidR="000D4C99" w:rsidRDefault="005560B7" w:rsidP="00674FCC">
      <w:pPr>
        <w:ind w:left="142"/>
        <w:jc w:val="both"/>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施行前已繫屬於各級法院而屬本法適用範圍之案件，仍應依施行前之法定程序終結之。</w:t>
      </w:r>
    </w:p>
    <w:p w14:paraId="64106CFA" w14:textId="77777777" w:rsidR="003B6E03" w:rsidRDefault="000D4C99" w:rsidP="00674FCC">
      <w:pPr>
        <w:pStyle w:val="2"/>
        <w:jc w:val="both"/>
      </w:pPr>
      <w:bookmarkStart w:id="131" w:name="a113"/>
      <w:bookmarkEnd w:id="131"/>
      <w:r w:rsidRPr="000D4C99">
        <w:t>第</w:t>
      </w:r>
      <w:r w:rsidRPr="000D4C99">
        <w:t>113</w:t>
      </w:r>
      <w:r w:rsidR="003B6E03">
        <w:t>條</w:t>
      </w:r>
    </w:p>
    <w:p w14:paraId="29045920" w14:textId="68635A19" w:rsidR="00431EEC" w:rsidRPr="00C01BC3" w:rsidRDefault="005560B7" w:rsidP="00674FCC">
      <w:pPr>
        <w:ind w:left="142"/>
        <w:jc w:val="both"/>
        <w:rPr>
          <w:rFonts w:ascii="Arial Unicode MS" w:hAnsi="Arial Unicode MS"/>
          <w:color w:val="17365D"/>
        </w:rPr>
      </w:pPr>
      <w:r w:rsidRPr="005560B7">
        <w:rPr>
          <w:rFonts w:asciiTheme="minorHAnsi" w:hAnsiTheme="minorHAnsi"/>
          <w:color w:val="404040" w:themeColor="text1" w:themeTint="BF"/>
          <w:sz w:val="18"/>
        </w:rPr>
        <w:t>﹝</w:t>
      </w:r>
      <w:r w:rsidR="003B6E03" w:rsidRPr="003B6E03">
        <w:rPr>
          <w:rFonts w:asciiTheme="minorHAnsi" w:hAnsiTheme="minorHAnsi"/>
          <w:color w:val="404040" w:themeColor="text1" w:themeTint="BF"/>
          <w:sz w:val="18"/>
        </w:rPr>
        <w:t>1</w:t>
      </w:r>
      <w:r w:rsidR="003B6E03" w:rsidRPr="003B6E03">
        <w:rPr>
          <w:rFonts w:asciiTheme="minorHAnsi" w:hAnsiTheme="minorHAnsi"/>
          <w:color w:val="404040" w:themeColor="text1" w:themeTint="BF"/>
          <w:sz w:val="18"/>
        </w:rPr>
        <w:t>﹞</w:t>
      </w:r>
      <w:r w:rsidR="000D4C99">
        <w:t>本法除第</w:t>
      </w:r>
      <w:hyperlink w:anchor="a17" w:history="1">
        <w:r w:rsidR="000D4C99" w:rsidRPr="00C24145">
          <w:rPr>
            <w:rStyle w:val="a3"/>
            <w:rFonts w:ascii="Times New Roman" w:hAnsi="Times New Roman"/>
          </w:rPr>
          <w:t>十七</w:t>
        </w:r>
      </w:hyperlink>
      <w:r w:rsidR="000D4C99">
        <w:t>條至第二十條及第</w:t>
      </w:r>
      <w:hyperlink w:anchor="a33" w:history="1">
        <w:r w:rsidR="000D4C99" w:rsidRPr="00C24145">
          <w:rPr>
            <w:rStyle w:val="a3"/>
            <w:rFonts w:ascii="Times New Roman" w:hAnsi="Times New Roman"/>
          </w:rPr>
          <w:t>三十三</w:t>
        </w:r>
      </w:hyperlink>
      <w:r w:rsidR="000D4C99">
        <w:t>條自公布日施行，</w:t>
      </w:r>
      <w:hyperlink w:anchor="a5" w:history="1">
        <w:r w:rsidR="000D4C99" w:rsidRPr="004F0BF2">
          <w:rPr>
            <w:rStyle w:val="a3"/>
            <w:rFonts w:ascii="Times New Roman" w:hAnsi="Times New Roman"/>
          </w:rPr>
          <w:t>第五條</w:t>
        </w:r>
      </w:hyperlink>
      <w:r w:rsidR="000D4C99">
        <w:t>第一項第一款自中華民國一百十五年一月一日施行外，其餘條文自中華民國一百十二年一月一日施行。</w:t>
      </w:r>
    </w:p>
    <w:p w14:paraId="417BA6A4" w14:textId="77777777" w:rsidR="008C1688" w:rsidRPr="008C1688" w:rsidRDefault="008C1688" w:rsidP="00360C9D">
      <w:pPr>
        <w:ind w:left="142"/>
        <w:jc w:val="both"/>
        <w:rPr>
          <w:rFonts w:ascii="Arial Unicode MS" w:hAnsi="Arial Unicode MS"/>
          <w:color w:val="17365D"/>
        </w:rPr>
      </w:pPr>
    </w:p>
    <w:p w14:paraId="3FB4C53C" w14:textId="77777777" w:rsidR="00431EEC" w:rsidRPr="00D244FB" w:rsidRDefault="00431EEC" w:rsidP="00360C9D">
      <w:pPr>
        <w:ind w:left="142"/>
        <w:jc w:val="both"/>
        <w:rPr>
          <w:rFonts w:ascii="Arial Unicode MS" w:hAnsi="Arial Unicode MS"/>
          <w:color w:val="17365D"/>
        </w:rPr>
      </w:pPr>
    </w:p>
    <w:p w14:paraId="14FF589B" w14:textId="77777777" w:rsidR="00A51BA6" w:rsidRPr="00C1655B" w:rsidRDefault="00A51BA6" w:rsidP="00A51BA6">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22F6E291" w14:textId="2F167F4F" w:rsidR="00431EEC" w:rsidRPr="00A51BA6" w:rsidRDefault="00A51BA6" w:rsidP="00A51BA6">
      <w:pPr>
        <w:ind w:leftChars="71" w:left="142"/>
        <w:jc w:val="both"/>
        <w:rPr>
          <w:rFonts w:ascii="Arial Unicode MS" w:hAnsi="Arial Unicode MS"/>
          <w:color w:val="808080"/>
          <w:sz w:val="18"/>
          <w:szCs w:val="20"/>
        </w:rPr>
      </w:pPr>
      <w:r w:rsidRPr="003D460F">
        <w:rPr>
          <w:rFonts w:hint="eastAsia"/>
          <w:color w:val="5F5F5F"/>
          <w:sz w:val="18"/>
          <w:szCs w:val="18"/>
        </w:rPr>
        <w:t>【編註】</w:t>
      </w:r>
      <w:r w:rsidR="000D4C99">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3"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431EEC" w:rsidRPr="00A51BA6">
      <w:footerReference w:type="even" r:id="rId44"/>
      <w:footerReference w:type="default" r:id="rId45"/>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73C6E" w14:textId="77777777" w:rsidR="00A7692F" w:rsidRDefault="00A7692F">
      <w:r>
        <w:separator/>
      </w:r>
    </w:p>
  </w:endnote>
  <w:endnote w:type="continuationSeparator" w:id="0">
    <w:p w14:paraId="1D3D8337" w14:textId="77777777" w:rsidR="00A7692F" w:rsidRDefault="00A7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7B02" w14:textId="15CA1FD1" w:rsidR="00B323BA" w:rsidRDefault="00B323B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73C05">
      <w:rPr>
        <w:rStyle w:val="a7"/>
        <w:noProof/>
      </w:rPr>
      <w:t>1</w:t>
    </w:r>
    <w:r>
      <w:rPr>
        <w:rStyle w:val="a7"/>
      </w:rPr>
      <w:fldChar w:fldCharType="end"/>
    </w:r>
  </w:p>
  <w:p w14:paraId="040EC96E" w14:textId="77777777" w:rsidR="00B323BA" w:rsidRDefault="00B323B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466F" w14:textId="77777777" w:rsidR="00B323BA" w:rsidRDefault="00B323B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D88EE96" w14:textId="0E5B7DEC" w:rsidR="00B323BA" w:rsidRPr="009758FD" w:rsidRDefault="00B323BA" w:rsidP="005360FE">
    <w:pPr>
      <w:pStyle w:val="a6"/>
      <w:wordWrap w:val="0"/>
      <w:ind w:right="360"/>
      <w:jc w:val="right"/>
      <w:rPr>
        <w:rFonts w:ascii="Arial Unicode MS" w:hAnsi="Arial Unicode MS"/>
        <w:sz w:val="18"/>
      </w:rPr>
    </w:pPr>
    <w:r>
      <w:rPr>
        <w:rFonts w:ascii="Arial Unicode MS" w:hAnsi="Arial Unicode MS" w:hint="eastAsia"/>
        <w:color w:val="000000"/>
        <w:sz w:val="18"/>
      </w:rPr>
      <w:t>〈〈</w:t>
    </w:r>
    <w:r w:rsidRPr="00F169A7">
      <w:rPr>
        <w:rFonts w:ascii="Arial Unicode MS" w:hAnsi="Arial Unicode MS" w:hint="eastAsia"/>
        <w:color w:val="000000"/>
        <w:sz w:val="18"/>
        <w:szCs w:val="24"/>
      </w:rPr>
      <w:t>國民法官法</w:t>
    </w:r>
    <w:r>
      <w:rPr>
        <w:rFonts w:ascii="Arial Unicode MS" w:hAnsi="Arial Unicode MS" w:hint="eastAsia"/>
        <w:color w:val="000000"/>
        <w:sz w:val="18"/>
      </w:rPr>
      <w:t>〉〉</w:t>
    </w:r>
    <w:r w:rsidRPr="009758FD">
      <w:rPr>
        <w:rFonts w:ascii="Arial Unicode MS" w:hAnsi="Arial Unicode MS" w:hint="eastAsia"/>
        <w:sz w:val="18"/>
      </w:rPr>
      <w:t>S-link</w:t>
    </w:r>
    <w:r w:rsidRPr="009758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3AD60" w14:textId="77777777" w:rsidR="00A7692F" w:rsidRDefault="00A7692F">
      <w:r>
        <w:separator/>
      </w:r>
    </w:p>
  </w:footnote>
  <w:footnote w:type="continuationSeparator" w:id="0">
    <w:p w14:paraId="65ADB490" w14:textId="77777777" w:rsidR="00A7692F" w:rsidRDefault="00A76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987469845">
    <w:abstractNumId w:val="0"/>
  </w:num>
  <w:num w:numId="2" w16cid:durableId="97215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C8"/>
    <w:rsid w:val="0000444A"/>
    <w:rsid w:val="00010878"/>
    <w:rsid w:val="00032FAC"/>
    <w:rsid w:val="0003470A"/>
    <w:rsid w:val="00037674"/>
    <w:rsid w:val="00041F63"/>
    <w:rsid w:val="000443FD"/>
    <w:rsid w:val="00051407"/>
    <w:rsid w:val="0006505D"/>
    <w:rsid w:val="0007318D"/>
    <w:rsid w:val="00087879"/>
    <w:rsid w:val="000A7115"/>
    <w:rsid w:val="000C1DAC"/>
    <w:rsid w:val="000D1735"/>
    <w:rsid w:val="000D31F2"/>
    <w:rsid w:val="000D4C99"/>
    <w:rsid w:val="000D710E"/>
    <w:rsid w:val="000D7583"/>
    <w:rsid w:val="000E5F6B"/>
    <w:rsid w:val="00100662"/>
    <w:rsid w:val="00104AE3"/>
    <w:rsid w:val="0012255A"/>
    <w:rsid w:val="001415EF"/>
    <w:rsid w:val="00143B85"/>
    <w:rsid w:val="00144F5E"/>
    <w:rsid w:val="00151F81"/>
    <w:rsid w:val="00152F91"/>
    <w:rsid w:val="001662B2"/>
    <w:rsid w:val="001668E9"/>
    <w:rsid w:val="00173A16"/>
    <w:rsid w:val="00177095"/>
    <w:rsid w:val="0017710E"/>
    <w:rsid w:val="00180F7B"/>
    <w:rsid w:val="001A49BA"/>
    <w:rsid w:val="001A7DEB"/>
    <w:rsid w:val="001C258B"/>
    <w:rsid w:val="001D0CEA"/>
    <w:rsid w:val="001D6830"/>
    <w:rsid w:val="001E2383"/>
    <w:rsid w:val="001E4EAE"/>
    <w:rsid w:val="001F4C97"/>
    <w:rsid w:val="00222E53"/>
    <w:rsid w:val="002275F3"/>
    <w:rsid w:val="0024136E"/>
    <w:rsid w:val="00241BBE"/>
    <w:rsid w:val="00247DE0"/>
    <w:rsid w:val="00260074"/>
    <w:rsid w:val="002614EA"/>
    <w:rsid w:val="002B4B9C"/>
    <w:rsid w:val="002B565A"/>
    <w:rsid w:val="002E3B23"/>
    <w:rsid w:val="002E6DCE"/>
    <w:rsid w:val="002F5997"/>
    <w:rsid w:val="0030179C"/>
    <w:rsid w:val="0031479F"/>
    <w:rsid w:val="00316FDB"/>
    <w:rsid w:val="00317C6A"/>
    <w:rsid w:val="003222AE"/>
    <w:rsid w:val="00322A95"/>
    <w:rsid w:val="00347E94"/>
    <w:rsid w:val="003555EC"/>
    <w:rsid w:val="00356810"/>
    <w:rsid w:val="00360C9D"/>
    <w:rsid w:val="003701DD"/>
    <w:rsid w:val="00373827"/>
    <w:rsid w:val="00381C40"/>
    <w:rsid w:val="00382D27"/>
    <w:rsid w:val="003B13F3"/>
    <w:rsid w:val="003B65B6"/>
    <w:rsid w:val="003B6E03"/>
    <w:rsid w:val="003D35D6"/>
    <w:rsid w:val="003E3D75"/>
    <w:rsid w:val="003F75CC"/>
    <w:rsid w:val="00411C6D"/>
    <w:rsid w:val="00416001"/>
    <w:rsid w:val="00422DBB"/>
    <w:rsid w:val="00431EEC"/>
    <w:rsid w:val="004339F1"/>
    <w:rsid w:val="004457D2"/>
    <w:rsid w:val="0045269A"/>
    <w:rsid w:val="00452F61"/>
    <w:rsid w:val="00470913"/>
    <w:rsid w:val="00484716"/>
    <w:rsid w:val="00494A3E"/>
    <w:rsid w:val="004A0CC8"/>
    <w:rsid w:val="004A30C5"/>
    <w:rsid w:val="004B52A7"/>
    <w:rsid w:val="004B666F"/>
    <w:rsid w:val="004D1AE3"/>
    <w:rsid w:val="004D590E"/>
    <w:rsid w:val="004E21D2"/>
    <w:rsid w:val="004F0BF2"/>
    <w:rsid w:val="004F1EF1"/>
    <w:rsid w:val="004F73FB"/>
    <w:rsid w:val="005004A3"/>
    <w:rsid w:val="005075C1"/>
    <w:rsid w:val="005360FE"/>
    <w:rsid w:val="005560B7"/>
    <w:rsid w:val="00561FD3"/>
    <w:rsid w:val="00565C88"/>
    <w:rsid w:val="00567A84"/>
    <w:rsid w:val="00570166"/>
    <w:rsid w:val="005805AB"/>
    <w:rsid w:val="00587BCC"/>
    <w:rsid w:val="005A3473"/>
    <w:rsid w:val="005A3BDD"/>
    <w:rsid w:val="005A4B4E"/>
    <w:rsid w:val="005B4510"/>
    <w:rsid w:val="005C7F6E"/>
    <w:rsid w:val="005C7F8A"/>
    <w:rsid w:val="005F4657"/>
    <w:rsid w:val="00611006"/>
    <w:rsid w:val="006250A0"/>
    <w:rsid w:val="006254EE"/>
    <w:rsid w:val="0063000B"/>
    <w:rsid w:val="00632BB0"/>
    <w:rsid w:val="006631DB"/>
    <w:rsid w:val="00664DFB"/>
    <w:rsid w:val="006749A6"/>
    <w:rsid w:val="00674FCC"/>
    <w:rsid w:val="00683312"/>
    <w:rsid w:val="006977EE"/>
    <w:rsid w:val="006A2BCA"/>
    <w:rsid w:val="006A4941"/>
    <w:rsid w:val="006B2AE3"/>
    <w:rsid w:val="006B3D46"/>
    <w:rsid w:val="006D0623"/>
    <w:rsid w:val="006D68DB"/>
    <w:rsid w:val="006D72FF"/>
    <w:rsid w:val="006E01BF"/>
    <w:rsid w:val="006E3BC0"/>
    <w:rsid w:val="006E705F"/>
    <w:rsid w:val="006F00F5"/>
    <w:rsid w:val="00703E61"/>
    <w:rsid w:val="007043B6"/>
    <w:rsid w:val="00707A19"/>
    <w:rsid w:val="007307BD"/>
    <w:rsid w:val="00733D34"/>
    <w:rsid w:val="00747753"/>
    <w:rsid w:val="00755DE6"/>
    <w:rsid w:val="007720A1"/>
    <w:rsid w:val="00780CEF"/>
    <w:rsid w:val="00787B46"/>
    <w:rsid w:val="007A4E7B"/>
    <w:rsid w:val="007B225D"/>
    <w:rsid w:val="007B4E78"/>
    <w:rsid w:val="007B5269"/>
    <w:rsid w:val="007C5BAB"/>
    <w:rsid w:val="007D1A3A"/>
    <w:rsid w:val="007D7E8D"/>
    <w:rsid w:val="007F2E5B"/>
    <w:rsid w:val="007F3639"/>
    <w:rsid w:val="0081602E"/>
    <w:rsid w:val="00827B05"/>
    <w:rsid w:val="0083757D"/>
    <w:rsid w:val="00845988"/>
    <w:rsid w:val="00847FDF"/>
    <w:rsid w:val="00893D95"/>
    <w:rsid w:val="008949B0"/>
    <w:rsid w:val="008B03F1"/>
    <w:rsid w:val="008B5BAE"/>
    <w:rsid w:val="008C1688"/>
    <w:rsid w:val="008C4620"/>
    <w:rsid w:val="008C7018"/>
    <w:rsid w:val="008D7AA9"/>
    <w:rsid w:val="008E5159"/>
    <w:rsid w:val="008F57EB"/>
    <w:rsid w:val="0091603F"/>
    <w:rsid w:val="00931235"/>
    <w:rsid w:val="009355EB"/>
    <w:rsid w:val="0095145E"/>
    <w:rsid w:val="00956013"/>
    <w:rsid w:val="009612D7"/>
    <w:rsid w:val="009758FD"/>
    <w:rsid w:val="0099154E"/>
    <w:rsid w:val="00991F3F"/>
    <w:rsid w:val="00995A2A"/>
    <w:rsid w:val="009D286B"/>
    <w:rsid w:val="009D54F3"/>
    <w:rsid w:val="009E0895"/>
    <w:rsid w:val="00A276FD"/>
    <w:rsid w:val="00A43518"/>
    <w:rsid w:val="00A47A95"/>
    <w:rsid w:val="00A47BE3"/>
    <w:rsid w:val="00A51BA6"/>
    <w:rsid w:val="00A5787E"/>
    <w:rsid w:val="00A6011A"/>
    <w:rsid w:val="00A63811"/>
    <w:rsid w:val="00A71C27"/>
    <w:rsid w:val="00A71EEA"/>
    <w:rsid w:val="00A73C05"/>
    <w:rsid w:val="00A74392"/>
    <w:rsid w:val="00A7692F"/>
    <w:rsid w:val="00AB3534"/>
    <w:rsid w:val="00AB5D81"/>
    <w:rsid w:val="00AD52B5"/>
    <w:rsid w:val="00AF1681"/>
    <w:rsid w:val="00AF2E81"/>
    <w:rsid w:val="00AF3398"/>
    <w:rsid w:val="00AF6DDB"/>
    <w:rsid w:val="00B27F2D"/>
    <w:rsid w:val="00B323BA"/>
    <w:rsid w:val="00B51635"/>
    <w:rsid w:val="00B61B2E"/>
    <w:rsid w:val="00B61EA2"/>
    <w:rsid w:val="00B734E4"/>
    <w:rsid w:val="00BA360D"/>
    <w:rsid w:val="00BA76F9"/>
    <w:rsid w:val="00BB31DC"/>
    <w:rsid w:val="00BC2A52"/>
    <w:rsid w:val="00BC30C3"/>
    <w:rsid w:val="00BC70EF"/>
    <w:rsid w:val="00BD7FF8"/>
    <w:rsid w:val="00BE6515"/>
    <w:rsid w:val="00BF0E3B"/>
    <w:rsid w:val="00BF26BB"/>
    <w:rsid w:val="00C01BC3"/>
    <w:rsid w:val="00C2397D"/>
    <w:rsid w:val="00C2413D"/>
    <w:rsid w:val="00C24145"/>
    <w:rsid w:val="00C30DB5"/>
    <w:rsid w:val="00C357DC"/>
    <w:rsid w:val="00C358A8"/>
    <w:rsid w:val="00C42B4D"/>
    <w:rsid w:val="00C50466"/>
    <w:rsid w:val="00C601BF"/>
    <w:rsid w:val="00C61BA4"/>
    <w:rsid w:val="00C812BD"/>
    <w:rsid w:val="00C83397"/>
    <w:rsid w:val="00CA7E5F"/>
    <w:rsid w:val="00CC00AD"/>
    <w:rsid w:val="00CD05AD"/>
    <w:rsid w:val="00D027CD"/>
    <w:rsid w:val="00D046B8"/>
    <w:rsid w:val="00D0599F"/>
    <w:rsid w:val="00D1191F"/>
    <w:rsid w:val="00D2412B"/>
    <w:rsid w:val="00D244FB"/>
    <w:rsid w:val="00D2753B"/>
    <w:rsid w:val="00D27DEA"/>
    <w:rsid w:val="00D36745"/>
    <w:rsid w:val="00D36C72"/>
    <w:rsid w:val="00D409E5"/>
    <w:rsid w:val="00D523DF"/>
    <w:rsid w:val="00D66E62"/>
    <w:rsid w:val="00D81359"/>
    <w:rsid w:val="00DD42DD"/>
    <w:rsid w:val="00DE0054"/>
    <w:rsid w:val="00DF0117"/>
    <w:rsid w:val="00DF7253"/>
    <w:rsid w:val="00E13A0E"/>
    <w:rsid w:val="00E213C7"/>
    <w:rsid w:val="00E27CA6"/>
    <w:rsid w:val="00E31347"/>
    <w:rsid w:val="00E3177E"/>
    <w:rsid w:val="00E44D88"/>
    <w:rsid w:val="00E623BE"/>
    <w:rsid w:val="00E678EC"/>
    <w:rsid w:val="00E718BD"/>
    <w:rsid w:val="00E81351"/>
    <w:rsid w:val="00E94405"/>
    <w:rsid w:val="00E94B1F"/>
    <w:rsid w:val="00EB2BDE"/>
    <w:rsid w:val="00EB52F5"/>
    <w:rsid w:val="00EC1889"/>
    <w:rsid w:val="00EC1B72"/>
    <w:rsid w:val="00F126D7"/>
    <w:rsid w:val="00F169A7"/>
    <w:rsid w:val="00F2026D"/>
    <w:rsid w:val="00F25BF6"/>
    <w:rsid w:val="00F26B7D"/>
    <w:rsid w:val="00F3421C"/>
    <w:rsid w:val="00F42647"/>
    <w:rsid w:val="00F43973"/>
    <w:rsid w:val="00F602E3"/>
    <w:rsid w:val="00F70246"/>
    <w:rsid w:val="00F73000"/>
    <w:rsid w:val="00F82645"/>
    <w:rsid w:val="00F95B90"/>
    <w:rsid w:val="00FB046E"/>
    <w:rsid w:val="00FB3689"/>
    <w:rsid w:val="00FB4009"/>
    <w:rsid w:val="00FB5F62"/>
    <w:rsid w:val="00FC1724"/>
    <w:rsid w:val="00FC5363"/>
    <w:rsid w:val="00FE1465"/>
    <w:rsid w:val="00FE31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4A403C2"/>
  <w15:docId w15:val="{C01A67DF-3848-4F69-BFC2-C62EEFFD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154E"/>
    <w:pPr>
      <w:widowControl w:val="0"/>
    </w:pPr>
    <w:rPr>
      <w:kern w:val="2"/>
      <w:szCs w:val="24"/>
    </w:rPr>
  </w:style>
  <w:style w:type="paragraph" w:styleId="1">
    <w:name w:val="heading 1"/>
    <w:basedOn w:val="a"/>
    <w:next w:val="a"/>
    <w:link w:val="10"/>
    <w:autoRedefine/>
    <w:uiPriority w:val="9"/>
    <w:qFormat/>
    <w:rsid w:val="00F169A7"/>
    <w:pPr>
      <w:keepNext/>
      <w:adjustRightInd w:val="0"/>
      <w:snapToGrid w:val="0"/>
      <w:spacing w:beforeLines="30" w:before="108" w:afterLines="30" w:after="108"/>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0D4C99"/>
    <w:pPr>
      <w:keepNext/>
      <w:adjustRightInd w:val="0"/>
      <w:snapToGrid w:val="0"/>
      <w:spacing w:beforeLines="30" w:before="108" w:afterLines="30" w:after="108"/>
      <w:outlineLvl w:val="1"/>
    </w:pPr>
    <w:rPr>
      <w:rFonts w:ascii="Arial Unicode MS" w:hAnsi="Arial Unicode MS" w:cs="Arial Unicode MS"/>
      <w:b/>
      <w:bCs/>
      <w:color w:val="990000"/>
      <w:szCs w:val="48"/>
    </w:rPr>
  </w:style>
  <w:style w:type="paragraph" w:styleId="3">
    <w:name w:val="heading 3"/>
    <w:basedOn w:val="a"/>
    <w:link w:val="30"/>
    <w:qFormat/>
    <w:rsid w:val="008C1688"/>
    <w:pPr>
      <w:widowControl/>
      <w:adjustRightInd w:val="0"/>
      <w:snapToGrid w:val="0"/>
      <w:ind w:leftChars="59" w:left="118"/>
      <w:outlineLvl w:val="2"/>
    </w:pPr>
    <w:rPr>
      <w:rFonts w:ascii="Arial Unicode MS" w:hAnsi="Arial Unicode MS" w:cs="Arial Unicode MS"/>
      <w:bCs/>
      <w:color w:val="808000"/>
      <w:szCs w:val="27"/>
    </w:rPr>
  </w:style>
  <w:style w:type="paragraph" w:styleId="4">
    <w:name w:val="heading 4"/>
    <w:basedOn w:val="a"/>
    <w:next w:val="a"/>
    <w:link w:val="40"/>
    <w:uiPriority w:val="9"/>
    <w:unhideWhenUsed/>
    <w:qFormat/>
    <w:rsid w:val="000D4C99"/>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1">
    <w:name w:val="toc 1"/>
    <w:basedOn w:val="a"/>
    <w:next w:val="a"/>
    <w:autoRedefine/>
    <w:semiHidden/>
    <w:rsid w:val="0083757D"/>
    <w:rPr>
      <w:rFonts w:ascii="新細明體" w:hAnsi="新細明體"/>
      <w:color w:val="993300"/>
    </w:rPr>
  </w:style>
  <w:style w:type="character" w:customStyle="1" w:styleId="20">
    <w:name w:val="標題 2 字元"/>
    <w:link w:val="2"/>
    <w:uiPriority w:val="9"/>
    <w:rsid w:val="000D4C99"/>
    <w:rPr>
      <w:rFonts w:ascii="Arial Unicode MS" w:hAnsi="Arial Unicode MS" w:cs="Arial Unicode MS"/>
      <w:b/>
      <w:bCs/>
      <w:color w:val="990000"/>
      <w:kern w:val="2"/>
      <w:szCs w:val="48"/>
    </w:rPr>
  </w:style>
  <w:style w:type="paragraph" w:styleId="a8">
    <w:name w:val="Document Map"/>
    <w:basedOn w:val="a"/>
    <w:link w:val="a9"/>
    <w:rsid w:val="00E81351"/>
    <w:rPr>
      <w:rFonts w:ascii="新細明體" w:hAnsi="新細明體"/>
      <w:szCs w:val="18"/>
    </w:rPr>
  </w:style>
  <w:style w:type="character" w:customStyle="1" w:styleId="a9">
    <w:name w:val="文件引導模式 字元"/>
    <w:link w:val="a8"/>
    <w:rsid w:val="00E81351"/>
    <w:rPr>
      <w:rFonts w:ascii="新細明體" w:hAnsi="新細明體"/>
      <w:kern w:val="2"/>
      <w:szCs w:val="18"/>
    </w:rPr>
  </w:style>
  <w:style w:type="character" w:customStyle="1" w:styleId="30">
    <w:name w:val="標題 3 字元"/>
    <w:link w:val="3"/>
    <w:rsid w:val="008C1688"/>
    <w:rPr>
      <w:rFonts w:ascii="Arial Unicode MS" w:hAnsi="Arial Unicode MS" w:cs="Arial Unicode MS"/>
      <w:bCs/>
      <w:color w:val="808000"/>
      <w:kern w:val="2"/>
      <w:szCs w:val="27"/>
    </w:rPr>
  </w:style>
  <w:style w:type="paragraph" w:styleId="aa">
    <w:name w:val="Balloon Text"/>
    <w:basedOn w:val="a"/>
    <w:link w:val="ab"/>
    <w:rsid w:val="00AF2E81"/>
    <w:rPr>
      <w:rFonts w:asciiTheme="majorHAnsi" w:eastAsiaTheme="majorEastAsia" w:hAnsiTheme="majorHAnsi" w:cstheme="majorBidi"/>
      <w:sz w:val="18"/>
      <w:szCs w:val="18"/>
    </w:rPr>
  </w:style>
  <w:style w:type="character" w:customStyle="1" w:styleId="ab">
    <w:name w:val="註解方塊文字 字元"/>
    <w:basedOn w:val="a0"/>
    <w:link w:val="aa"/>
    <w:rsid w:val="00AF2E81"/>
    <w:rPr>
      <w:rFonts w:asciiTheme="majorHAnsi" w:eastAsiaTheme="majorEastAsia" w:hAnsiTheme="majorHAnsi" w:cstheme="majorBidi"/>
      <w:kern w:val="2"/>
      <w:sz w:val="18"/>
      <w:szCs w:val="18"/>
    </w:rPr>
  </w:style>
  <w:style w:type="character" w:customStyle="1" w:styleId="40">
    <w:name w:val="標題 4 字元"/>
    <w:basedOn w:val="a0"/>
    <w:link w:val="4"/>
    <w:uiPriority w:val="9"/>
    <w:rsid w:val="000D4C99"/>
    <w:rPr>
      <w:rFonts w:asciiTheme="majorHAnsi" w:eastAsiaTheme="majorEastAsia" w:hAnsiTheme="majorHAnsi" w:cstheme="majorBidi"/>
      <w:kern w:val="2"/>
      <w:sz w:val="36"/>
      <w:szCs w:val="36"/>
    </w:rPr>
  </w:style>
  <w:style w:type="character" w:customStyle="1" w:styleId="10">
    <w:name w:val="標題 1 字元"/>
    <w:basedOn w:val="a0"/>
    <w:link w:val="1"/>
    <w:uiPriority w:val="9"/>
    <w:rsid w:val="00F169A7"/>
    <w:rPr>
      <w:rFonts w:ascii="Arial Unicode MS" w:hAnsi="Arial Unicode MS" w:cs="Arial Unicode MS"/>
      <w:b/>
      <w:bCs/>
      <w:color w:val="333399"/>
      <w:kern w:val="2"/>
      <w:szCs w:val="52"/>
    </w:rPr>
  </w:style>
  <w:style w:type="character" w:styleId="ac">
    <w:name w:val="Unresolved Mention"/>
    <w:basedOn w:val="a0"/>
    <w:uiPriority w:val="99"/>
    <w:semiHidden/>
    <w:unhideWhenUsed/>
    <w:rsid w:val="00A47BE3"/>
    <w:rPr>
      <w:color w:val="605E5C"/>
      <w:shd w:val="clear" w:color="auto" w:fill="E1DFDD"/>
    </w:rPr>
  </w:style>
  <w:style w:type="paragraph" w:styleId="ad">
    <w:name w:val="List Paragraph"/>
    <w:basedOn w:val="a"/>
    <w:uiPriority w:val="34"/>
    <w:qFormat/>
    <w:rsid w:val="007F2E5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458">
      <w:bodyDiv w:val="1"/>
      <w:marLeft w:val="0"/>
      <w:marRight w:val="0"/>
      <w:marTop w:val="0"/>
      <w:marBottom w:val="0"/>
      <w:divBdr>
        <w:top w:val="none" w:sz="0" w:space="0" w:color="auto"/>
        <w:left w:val="none" w:sz="0" w:space="0" w:color="auto"/>
        <w:bottom w:val="none" w:sz="0" w:space="0" w:color="auto"/>
        <w:right w:val="none" w:sz="0" w:space="0" w:color="auto"/>
      </w:divBdr>
    </w:div>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9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20998;&#39006;&#27861;&#35215;&#32034;&#24341;02.docx" TargetMode="External"/><Relationship Id="rId18" Type="http://schemas.openxmlformats.org/officeDocument/2006/relationships/hyperlink" Target="&#27602;&#21697;&#21361;&#23475;&#38450;&#21046;&#26781;&#20363;.docx" TargetMode="External"/><Relationship Id="rId26" Type="http://schemas.openxmlformats.org/officeDocument/2006/relationships/hyperlink" Target="../law3/&#22283;&#27665;&#27861;&#23448;&#20491;&#20154;&#36039;&#26009;&#20445;&#35703;&#36774;&#27861;.docx" TargetMode="External"/><Relationship Id="rId39" Type="http://schemas.openxmlformats.org/officeDocument/2006/relationships/hyperlink" Target="../law3/&#22283;&#27665;&#21443;&#33287;&#23529;&#21028;&#21046;&#24230;&#25104;&#25928;&#35413;&#20272;&#22996;&#21729;&#26371;&#22519;&#34892;&#31192;&#26360;&#21450;&#21161;&#29702;&#32856;&#29992;&#26989;&#21209;&#31649;&#29702;&#21450;&#32771;&#26680;&#36774;&#27861;.docx" TargetMode="External"/><Relationship Id="rId21" Type="http://schemas.openxmlformats.org/officeDocument/2006/relationships/hyperlink" Target="../law3/&#20633;&#36984;&#22283;&#27665;&#27861;&#23448;&#21021;&#36984;&#21517;&#20874;&#35069;&#20316;&#21450;&#31649;&#29702;&#36774;&#27861;.docx" TargetMode="External"/><Relationship Id="rId34" Type="http://schemas.openxmlformats.org/officeDocument/2006/relationships/hyperlink" Target="../law1/&#26368;&#39640;&#27861;&#38498;&#21009;&#20107;&#24237;&#20855;&#21443;&#32771;&#20729;&#20540;&#35009;&#21028;08.docx" TargetMode="External"/><Relationship Id="rId42" Type="http://schemas.openxmlformats.org/officeDocument/2006/relationships/hyperlink" Target="../law3/&#22283;&#27665;&#27861;&#23448;&#27861;&#26045;&#34892;&#32048;&#21063;.docx" TargetMode="External"/><Relationship Id="rId47" Type="http://schemas.openxmlformats.org/officeDocument/2006/relationships/theme" Target="theme/theme1.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27861;&#38498;&#32068;&#32340;&#27861;.docx" TargetMode="External"/><Relationship Id="rId29" Type="http://schemas.openxmlformats.org/officeDocument/2006/relationships/hyperlink" Target="&#21009;&#20107;&#35380;&#35359;&#27861;.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laws.net/" TargetMode="External"/><Relationship Id="rId24" Type="http://schemas.openxmlformats.org/officeDocument/2006/relationships/hyperlink" Target="../law3/&#22283;&#27665;&#27861;&#23448;&#36984;&#20219;&#36774;&#27861;.docx" TargetMode="External"/><Relationship Id="rId32" Type="http://schemas.openxmlformats.org/officeDocument/2006/relationships/hyperlink" Target="&#21009;&#20107;&#35380;&#35359;&#27861;.docx" TargetMode="External"/><Relationship Id="rId37" Type="http://schemas.openxmlformats.org/officeDocument/2006/relationships/hyperlink" Target="&#21009;&#20107;&#35380;&#35359;&#27861;.docx" TargetMode="External"/><Relationship Id="rId40" Type="http://schemas.openxmlformats.org/officeDocument/2006/relationships/hyperlink" Target="../law3/&#22283;&#27665;&#21443;&#33287;&#23529;&#21028;&#21046;&#24230;&#25104;&#25928;&#35413;&#20272;&#22996;&#21729;&#26371;&#30740;&#31350;&#21729;&#32856;&#29992;&#26989;&#21209;&#21450;&#32771;&#26680;&#36774;&#27861;.docx"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6laws.net/6law/law/&#22283;&#27665;&#27861;&#23448;&#27861;.htm" TargetMode="External"/><Relationship Id="rId23" Type="http://schemas.openxmlformats.org/officeDocument/2006/relationships/hyperlink" Target="../law3/&#22283;&#27665;&#21443;&#33287;&#23529;&#21028;&#21046;&#24230;&#27010;&#35201;&#35498;&#26126;&#26360;&#21450;&#20505;&#36984;&#22283;&#27665;&#27861;&#23448;&#35519;&#26597;&#34920;&#25033;&#35352;&#36617;&#20107;&#38917;&#28310;&#21063;.docx" TargetMode="External"/><Relationship Id="rId28" Type="http://schemas.openxmlformats.org/officeDocument/2006/relationships/hyperlink" Target="../law3/&#22283;&#27665;&#21443;&#33287;&#23529;&#21028;&#26696;&#20214;&#23529;&#29702;&#35336;&#30059;&#28310;&#21063;.docx" TargetMode="External"/><Relationship Id="rId36" Type="http://schemas.openxmlformats.org/officeDocument/2006/relationships/hyperlink" Target="../law1/&#26368;&#39640;&#27861;&#38498;&#21009;&#20107;&#24237;&#20855;&#21443;&#32771;&#20729;&#20540;&#35009;&#21028;08.docx" TargetMode="External"/><Relationship Id="rId10" Type="http://schemas.openxmlformats.org/officeDocument/2006/relationships/hyperlink" Target="https://www.facebook.com/anita6law" TargetMode="External"/><Relationship Id="rId19" Type="http://schemas.openxmlformats.org/officeDocument/2006/relationships/hyperlink" Target="&#21009;&#20107;&#35380;&#35359;&#27861;.docx" TargetMode="External"/><Relationship Id="rId31" Type="http://schemas.openxmlformats.org/officeDocument/2006/relationships/hyperlink" Target="../law3/&#22283;&#27665;&#27861;&#23448;&#21450;&#20633;&#20301;&#22283;&#27665;&#27861;&#23448;&#23459;&#35475;&#36774;&#27861;.docx"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S-link&#38651;&#23376;&#20845;&#27861;&#32317;&#32034;&#24341;.docx" TargetMode="External"/><Relationship Id="rId22" Type="http://schemas.openxmlformats.org/officeDocument/2006/relationships/hyperlink" Target="../law3/&#20633;&#36984;&#22283;&#27665;&#27861;&#23448;&#23529;&#26680;&#23567;&#32068;&#32887;&#27402;&#34892;&#20351;&#36774;&#27861;.docx" TargetMode="External"/><Relationship Id="rId27" Type="http://schemas.openxmlformats.org/officeDocument/2006/relationships/hyperlink" Target="&#21009;&#20107;&#35380;&#35359;&#27861;.docx" TargetMode="External"/><Relationship Id="rId30" Type="http://schemas.openxmlformats.org/officeDocument/2006/relationships/hyperlink" Target="../law3/&#21367;&#23447;&#21450;&#35657;&#29289;&#38283;&#31034;&#21450;&#25910;&#36027;&#35215;&#21063;.docx" TargetMode="External"/><Relationship Id="rId35" Type="http://schemas.openxmlformats.org/officeDocument/2006/relationships/hyperlink" Target="../law1/&#26368;&#39640;&#27861;&#38498;&#21009;&#20107;&#24237;&#20855;&#21443;&#32771;&#20729;&#20540;&#35009;&#21028;08.docx" TargetMode="External"/><Relationship Id="rId43" Type="http://schemas.openxmlformats.org/officeDocument/2006/relationships/hyperlink" Target="https://www.6laws.net/comment.htm"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21009;&#20107;&#35380;&#35359;&#27861;.docx" TargetMode="External"/><Relationship Id="rId25" Type="http://schemas.openxmlformats.org/officeDocument/2006/relationships/hyperlink" Target="&#20491;&#20154;&#36039;&#26009;&#20445;&#35703;&#27861;.docx" TargetMode="External"/><Relationship Id="rId33" Type="http://schemas.openxmlformats.org/officeDocument/2006/relationships/hyperlink" Target="&#20491;&#20154;&#36039;&#26009;&#20445;&#35703;&#27861;.docx" TargetMode="External"/><Relationship Id="rId38" Type="http://schemas.openxmlformats.org/officeDocument/2006/relationships/hyperlink" Target="../law1/&#26368;&#39640;&#27861;&#38498;&#21009;&#20107;&#24237;&#20855;&#21443;&#32771;&#20729;&#20540;&#35009;&#21028;08.docx" TargetMode="External"/><Relationship Id="rId46" Type="http://schemas.openxmlformats.org/officeDocument/2006/relationships/fontTable" Target="fontTable.xml"/><Relationship Id="rId20" Type="http://schemas.openxmlformats.org/officeDocument/2006/relationships/hyperlink" Target="../law3/&#22283;&#27665;&#27861;&#23448;&#36027;&#29992;&#25903;&#32102;&#36774;&#27861;.docx" TargetMode="External"/><Relationship Id="rId41" Type="http://schemas.openxmlformats.org/officeDocument/2006/relationships/hyperlink" Target="../law3/&#22283;&#27665;&#21443;&#33287;&#23529;&#21028;&#21046;&#24230;&#25104;&#25928;&#35413;&#20272;&#22996;&#21729;&#26371;&#32068;&#32340;&#35215;&#31243;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6law\AppData\Roaming\Microsoft\Templates\Normal113%20-%20&#35079;&#35069;.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Normal113 - 複製.dotm</Template>
  <TotalTime>595</TotalTime>
  <Pages>20</Pages>
  <Words>17561</Words>
  <Characters>5776</Characters>
  <Application>Microsoft Office Word</Application>
  <DocSecurity>0</DocSecurity>
  <Lines>48</Lines>
  <Paragraphs>46</Paragraphs>
  <ScaleCrop>false</ScaleCrop>
  <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國民法官法</dc:title>
  <dc:creator>S-link 電子六法-黃婉玲</dc:creator>
  <cp:lastModifiedBy>黃 6laws</cp:lastModifiedBy>
  <cp:revision>49</cp:revision>
  <dcterms:created xsi:type="dcterms:W3CDTF">2020-08-12T06:57:00Z</dcterms:created>
  <dcterms:modified xsi:type="dcterms:W3CDTF">2025-02-18T04:15:00Z</dcterms:modified>
</cp:coreProperties>
</file>