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89" w:rsidRDefault="00D40149" w:rsidP="00A51F89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新細明體" w:hAnsi="新細明體"/>
            <w:noProof/>
            <w:color w:val="808000"/>
            <w:sz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75pt;visibility:visible">
              <v:imagedata r:id="rId9" o:title="6lawr"/>
            </v:shape>
          </w:pict>
        </w:r>
      </w:hyperlink>
    </w:p>
    <w:p w:rsidR="00A51F89" w:rsidRDefault="00A51F89" w:rsidP="00A51F89">
      <w:pPr>
        <w:tabs>
          <w:tab w:val="left" w:pos="9498"/>
        </w:tabs>
        <w:adjustRightInd w:val="0"/>
        <w:snapToGrid w:val="0"/>
        <w:ind w:left="4313" w:rightChars="8" w:right="19" w:hangingChars="2396" w:hanging="431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8D0AEF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8D0AEF">
        <w:rPr>
          <w:rFonts w:ascii="Arial Unicode MS" w:hAnsi="Arial Unicode MS"/>
          <w:color w:val="5F5F5F"/>
          <w:sz w:val="18"/>
          <w:szCs w:val="20"/>
        </w:rPr>
        <w:t>2018/5/6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EC2006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EC2006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EC2006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 w:rsidRPr="008D0AEF">
          <w:rPr>
            <w:rStyle w:val="a3"/>
            <w:sz w:val="18"/>
            <w:szCs w:val="20"/>
          </w:rPr>
          <w:t>黃婉玲</w:t>
        </w:r>
      </w:hyperlink>
    </w:p>
    <w:p w:rsidR="00A51F89" w:rsidRDefault="00515B14" w:rsidP="00A51F89">
      <w:pPr>
        <w:adjustRightInd w:val="0"/>
        <w:snapToGrid w:val="0"/>
        <w:jc w:val="right"/>
        <w:rPr>
          <w:rFonts w:ascii="Arial Unicode MS" w:hAnsi="Arial Unicode MS"/>
          <w:sz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8D0AE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8D0AE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3" w:history="1">
        <w:r w:rsidRPr="00B63158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246" w:type="pct"/>
        <w:tblCellSpacing w:w="0" w:type="dxa"/>
        <w:tblInd w:w="-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5671"/>
        <w:gridCol w:w="3581"/>
      </w:tblGrid>
      <w:tr w:rsidR="00280CF2" w:rsidRPr="005713E0" w:rsidTr="00E20C0E">
        <w:trPr>
          <w:cantSplit/>
          <w:trHeight w:val="750"/>
          <w:tblCellSpacing w:w="0" w:type="dxa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280CF2" w:rsidRPr="009322B3" w:rsidRDefault="008D0AEF" w:rsidP="00A51F89">
            <w:pPr>
              <w:ind w:leftChars="-6" w:left="-14"/>
              <w:jc w:val="center"/>
              <w:rPr>
                <w:rFonts w:ascii="新細明體" w:hAnsi="新細明體"/>
                <w:b/>
                <w:bCs/>
                <w:color w:val="FFFFFF"/>
                <w:sz w:val="20"/>
              </w:rPr>
            </w:pPr>
            <w:r w:rsidRPr="008D0AEF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72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80CF2" w:rsidRPr="00E20C0E" w:rsidRDefault="00280CF2" w:rsidP="005713E0">
            <w:pPr>
              <w:jc w:val="center"/>
              <w:rPr>
                <w:rFonts w:eastAsia="標楷體"/>
                <w:shadow/>
                <w:sz w:val="30"/>
              </w:rPr>
            </w:pPr>
            <w:r w:rsidRPr="008B62AB">
              <w:rPr>
                <w:rFonts w:eastAsia="標楷體"/>
                <w:shadow/>
                <w:sz w:val="28"/>
              </w:rPr>
              <w:t>後備軍人轉任公職考試比敘條例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80CF2" w:rsidRPr="005713E0" w:rsidRDefault="00280CF2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5713E0">
              <w:rPr>
                <w:rFonts w:ascii="Arial Unicode MS" w:hAnsi="Arial Unicode MS"/>
                <w:color w:val="800000"/>
                <w:sz w:val="20"/>
              </w:rPr>
              <w:t>【</w:t>
            </w:r>
            <w:r w:rsidR="00EC2006" w:rsidRPr="00EC2006">
              <w:rPr>
                <w:rFonts w:ascii="Arial Unicode MS" w:hAnsi="Arial Unicode MS" w:hint="eastAsia"/>
                <w:color w:val="800000"/>
                <w:sz w:val="20"/>
              </w:rPr>
              <w:t>修正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1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8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:rsidR="00280CF2" w:rsidRPr="005713E0" w:rsidRDefault="00280CF2" w:rsidP="00A51F89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5713E0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1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5713E0">
              <w:rPr>
                <w:rFonts w:ascii="Arial Unicode MS" w:hAnsi="Arial Unicode MS" w:hint="eastAsia"/>
                <w:color w:val="800000"/>
                <w:sz w:val="20"/>
              </w:rPr>
              <w:t>30</w:t>
            </w:r>
            <w:r w:rsidRPr="005713E0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:rsidR="00C763B5" w:rsidRPr="00F24751" w:rsidRDefault="00515B14" w:rsidP="00515B14">
      <w:pPr>
        <w:ind w:left="142"/>
        <w:jc w:val="center"/>
        <w:rPr>
          <w:rFonts w:ascii="Arial Unicode MS" w:hAnsi="Arial Unicode MS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後備軍人轉任公職考試比敘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hyperlink r:id="rId15" w:anchor="後備軍人轉任公職考試比敘條例" w:history="1">
        <w:r w:rsidR="008D0AEF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〉〉</w:t>
        </w:r>
      </w:hyperlink>
      <w:hyperlink r:id="rId16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8D0AEF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280CF2" w:rsidRPr="00F24751" w:rsidRDefault="00280CF2" w:rsidP="00F2475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F24751">
        <w:rPr>
          <w:color w:val="990000"/>
        </w:rPr>
        <w:t>【</w:t>
      </w:r>
      <w:r w:rsidRPr="00F24751">
        <w:rPr>
          <w:rFonts w:hint="eastAsia"/>
          <w:color w:val="990000"/>
        </w:rPr>
        <w:t>法規沿革</w:t>
      </w:r>
      <w:r w:rsidRPr="00F24751">
        <w:rPr>
          <w:color w:val="990000"/>
        </w:rPr>
        <w:t>】</w:t>
      </w:r>
    </w:p>
    <w:p w:rsidR="009E3726" w:rsidRPr="009322B3" w:rsidRDefault="00280CF2" w:rsidP="00FA3B1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322B3">
        <w:rPr>
          <w:rFonts w:ascii="Arial Unicode MS" w:hAnsi="Arial Unicode MS"/>
          <w:b/>
          <w:color w:val="666699"/>
          <w:sz w:val="18"/>
        </w:rPr>
        <w:t>1</w:t>
      </w:r>
      <w:r w:rsidR="00F16281" w:rsidRPr="009322B3">
        <w:rPr>
          <w:rFonts w:ascii="新細明體" w:hAnsi="新細明體"/>
          <w:b/>
          <w:color w:val="666699"/>
          <w:sz w:val="18"/>
        </w:rPr>
        <w:t>‧</w:t>
      </w:r>
      <w:r w:rsidRPr="009322B3">
        <w:rPr>
          <w:rFonts w:ascii="Arial Unicode MS" w:hAnsi="Arial Unicode MS"/>
          <w:color w:val="666699"/>
          <w:sz w:val="18"/>
        </w:rPr>
        <w:t>中華民國五十六年六月二十二日總統制定公布全文</w:t>
      </w:r>
      <w:r w:rsidRPr="009322B3">
        <w:rPr>
          <w:rFonts w:ascii="Arial Unicode MS" w:hAnsi="Arial Unicode MS"/>
          <w:color w:val="666699"/>
          <w:sz w:val="18"/>
        </w:rPr>
        <w:t>7</w:t>
      </w:r>
      <w:r w:rsidRPr="009322B3">
        <w:rPr>
          <w:rFonts w:ascii="Arial Unicode MS" w:hAnsi="Arial Unicode MS"/>
          <w:color w:val="666699"/>
          <w:sz w:val="18"/>
        </w:rPr>
        <w:t>條</w:t>
      </w:r>
    </w:p>
    <w:p w:rsidR="00280CF2" w:rsidRPr="005713E0" w:rsidRDefault="00280CF2" w:rsidP="00F1628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322B3">
        <w:rPr>
          <w:rFonts w:ascii="Arial Unicode MS" w:hAnsi="Arial Unicode MS"/>
          <w:b/>
          <w:color w:val="666699"/>
          <w:sz w:val="18"/>
        </w:rPr>
        <w:t>2</w:t>
      </w:r>
      <w:r w:rsidR="00F16281" w:rsidRPr="009322B3">
        <w:rPr>
          <w:rFonts w:ascii="新細明體" w:hAnsi="新細明體"/>
          <w:b/>
          <w:color w:val="666699"/>
          <w:sz w:val="18"/>
        </w:rPr>
        <w:t>‧</w:t>
      </w:r>
      <w:r w:rsidRPr="009322B3">
        <w:rPr>
          <w:rFonts w:ascii="Arial Unicode MS" w:hAnsi="Arial Unicode MS"/>
          <w:color w:val="666699"/>
          <w:sz w:val="18"/>
        </w:rPr>
        <w:t>中華民國九十一年一月三十日總統</w:t>
      </w:r>
      <w:r w:rsidR="008F5F34" w:rsidRPr="009322B3">
        <w:rPr>
          <w:rFonts w:ascii="Arial Unicode MS" w:hAnsi="Arial Unicode MS"/>
          <w:color w:val="666699"/>
          <w:sz w:val="18"/>
        </w:rPr>
        <w:t>（</w:t>
      </w:r>
      <w:r w:rsidRPr="009322B3">
        <w:rPr>
          <w:rFonts w:ascii="Arial Unicode MS" w:hAnsi="Arial Unicode MS"/>
          <w:color w:val="666699"/>
          <w:sz w:val="18"/>
        </w:rPr>
        <w:t>91</w:t>
      </w:r>
      <w:r w:rsidR="008F5F34" w:rsidRPr="009322B3">
        <w:rPr>
          <w:rFonts w:ascii="Arial Unicode MS" w:hAnsi="Arial Unicode MS"/>
          <w:color w:val="666699"/>
          <w:sz w:val="18"/>
        </w:rPr>
        <w:t>）</w:t>
      </w:r>
      <w:r w:rsidRPr="009322B3">
        <w:rPr>
          <w:rFonts w:ascii="Arial Unicode MS" w:hAnsi="Arial Unicode MS"/>
          <w:color w:val="666699"/>
          <w:sz w:val="18"/>
        </w:rPr>
        <w:t>華總一義字第</w:t>
      </w:r>
      <w:r w:rsidRPr="009322B3">
        <w:rPr>
          <w:rFonts w:ascii="Arial Unicode MS" w:hAnsi="Arial Unicode MS"/>
          <w:color w:val="666699"/>
          <w:sz w:val="18"/>
        </w:rPr>
        <w:t>09100015090</w:t>
      </w:r>
      <w:r w:rsidRPr="009322B3">
        <w:rPr>
          <w:rFonts w:ascii="Arial Unicode MS" w:hAnsi="Arial Unicode MS"/>
          <w:color w:val="666699"/>
          <w:sz w:val="18"/>
        </w:rPr>
        <w:t>號令修正發布第</w:t>
      </w:r>
      <w:r w:rsidRPr="009322B3">
        <w:rPr>
          <w:rFonts w:ascii="Arial Unicode MS" w:hAnsi="Arial Unicode MS"/>
          <w:color w:val="666699"/>
          <w:sz w:val="18"/>
        </w:rPr>
        <w:t>3</w:t>
      </w:r>
      <w:r w:rsidRPr="009322B3">
        <w:rPr>
          <w:rFonts w:ascii="Arial Unicode MS" w:hAnsi="Arial Unicode MS"/>
          <w:color w:val="666699"/>
          <w:sz w:val="18"/>
        </w:rPr>
        <w:t>、</w:t>
      </w:r>
      <w:r w:rsidRPr="009322B3">
        <w:rPr>
          <w:rFonts w:ascii="Arial Unicode MS" w:hAnsi="Arial Unicode MS"/>
          <w:color w:val="666699"/>
          <w:sz w:val="18"/>
        </w:rPr>
        <w:t>5</w:t>
      </w:r>
      <w:r w:rsidRPr="009322B3">
        <w:rPr>
          <w:rFonts w:ascii="Arial Unicode MS" w:hAnsi="Arial Unicode MS"/>
          <w:color w:val="666699"/>
          <w:sz w:val="18"/>
        </w:rPr>
        <w:t>條條文；並增訂第</w:t>
      </w:r>
      <w:r w:rsidRPr="009322B3">
        <w:rPr>
          <w:rFonts w:ascii="Arial Unicode MS" w:hAnsi="Arial Unicode MS"/>
          <w:color w:val="666699"/>
          <w:sz w:val="18"/>
        </w:rPr>
        <w:t>5-1</w:t>
      </w:r>
      <w:r w:rsidRPr="009322B3">
        <w:rPr>
          <w:rFonts w:ascii="Arial Unicode MS" w:hAnsi="Arial Unicode MS"/>
          <w:color w:val="666699"/>
          <w:sz w:val="18"/>
        </w:rPr>
        <w:t>條條</w:t>
      </w:r>
      <w:r w:rsidRPr="005713E0">
        <w:rPr>
          <w:rFonts w:ascii="Arial Unicode MS" w:hAnsi="Arial Unicode MS"/>
          <w:color w:val="666699"/>
          <w:sz w:val="18"/>
        </w:rPr>
        <w:t>文</w:t>
      </w:r>
      <w:bookmarkStart w:id="1" w:name="_GoBack"/>
      <w:bookmarkEnd w:id="1"/>
    </w:p>
    <w:p w:rsidR="00280CF2" w:rsidRPr="005713E0" w:rsidRDefault="00280CF2">
      <w:pPr>
        <w:rPr>
          <w:rFonts w:ascii="Arial Unicode MS" w:hAnsi="Arial Unicode MS"/>
          <w:color w:val="666699"/>
          <w:sz w:val="20"/>
        </w:rPr>
      </w:pPr>
    </w:p>
    <w:p w:rsidR="00280CF2" w:rsidRPr="00F24751" w:rsidRDefault="00280CF2" w:rsidP="00F2475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F24751">
        <w:rPr>
          <w:color w:val="990000"/>
        </w:rPr>
        <w:t>【</w:t>
      </w:r>
      <w:r w:rsidRPr="00F24751">
        <w:rPr>
          <w:rFonts w:hint="eastAsia"/>
          <w:color w:val="990000"/>
        </w:rPr>
        <w:t>法規內容</w:t>
      </w:r>
      <w:r w:rsidRPr="00F24751">
        <w:rPr>
          <w:color w:val="990000"/>
        </w:rPr>
        <w:t>】</w:t>
      </w:r>
    </w:p>
    <w:p w:rsidR="00280CF2" w:rsidRPr="005713E0" w:rsidRDefault="00515B14" w:rsidP="00F24751">
      <w:pPr>
        <w:pStyle w:val="2"/>
      </w:pPr>
      <w:r>
        <w:t>第</w:t>
      </w:r>
      <w:r>
        <w:t>1</w:t>
      </w:r>
      <w:r>
        <w:t>條</w:t>
      </w:r>
      <w:r w:rsidR="00280CF2" w:rsidRPr="005713E0">
        <w:t>（立法依據）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本條例依</w:t>
      </w:r>
      <w:r w:rsidR="00280CF2" w:rsidRPr="007F55CF">
        <w:rPr>
          <w:rStyle w:val="a3"/>
          <w:rFonts w:ascii="Arial Unicode MS" w:hAnsi="Arial Unicode MS"/>
          <w:color w:val="17365D"/>
          <w:u w:val="none"/>
        </w:rPr>
        <w:t>軍人及其家屬優待條例</w:t>
      </w:r>
      <w:r w:rsidR="00280CF2" w:rsidRPr="007F55CF">
        <w:rPr>
          <w:rFonts w:ascii="Arial Unicode MS" w:hAnsi="Arial Unicode MS"/>
          <w:color w:val="17365D"/>
          <w:sz w:val="20"/>
        </w:rPr>
        <w:t>第</w:t>
      </w:r>
      <w:hyperlink r:id="rId17" w:anchor="a36" w:history="1">
        <w:r w:rsidR="00280CF2" w:rsidRPr="007F55CF">
          <w:rPr>
            <w:rStyle w:val="a3"/>
          </w:rPr>
          <w:t>三十六</w:t>
        </w:r>
      </w:hyperlink>
      <w:r w:rsidR="00280CF2" w:rsidRPr="007F55CF">
        <w:rPr>
          <w:rFonts w:ascii="Arial Unicode MS" w:hAnsi="Arial Unicode MS"/>
          <w:color w:val="17365D"/>
          <w:sz w:val="20"/>
        </w:rPr>
        <w:t>條制定之。</w:t>
      </w:r>
    </w:p>
    <w:p w:rsidR="00280CF2" w:rsidRPr="005713E0" w:rsidRDefault="00515B14" w:rsidP="00F24751">
      <w:pPr>
        <w:pStyle w:val="2"/>
      </w:pPr>
      <w:r>
        <w:t>第</w:t>
      </w:r>
      <w:r>
        <w:t>2</w:t>
      </w:r>
      <w:r>
        <w:t>條</w:t>
      </w:r>
      <w:r w:rsidR="00280CF2" w:rsidRPr="005713E0">
        <w:t>（適用範圍）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後備軍人參加公職考試與比敘之優待，依本條例之規定。</w:t>
      </w:r>
    </w:p>
    <w:p w:rsidR="00280CF2" w:rsidRPr="005713E0" w:rsidRDefault="000E55E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5713E0">
        <w:rPr>
          <w:rFonts w:ascii="Arial Unicode MS" w:hAnsi="Arial Unicode MS"/>
          <w:color w:val="666699"/>
          <w:sz w:val="20"/>
        </w:rPr>
        <w:t xml:space="preserve">　　</w:t>
      </w:r>
      <w:r w:rsidR="00280CF2" w:rsidRPr="005713E0">
        <w:rPr>
          <w:rFonts w:ascii="Arial Unicode MS" w:hAnsi="Arial Unicode MS"/>
          <w:color w:val="666699"/>
          <w:sz w:val="20"/>
        </w:rPr>
        <w:t>前項所稱公職，暫以公務人員為限。</w:t>
      </w:r>
    </w:p>
    <w:p w:rsidR="00280CF2" w:rsidRPr="005713E0" w:rsidRDefault="00515B14" w:rsidP="00F24751">
      <w:pPr>
        <w:pStyle w:val="2"/>
      </w:pPr>
      <w:bookmarkStart w:id="2" w:name="a3"/>
      <w:bookmarkEnd w:id="2"/>
      <w:r>
        <w:t>第</w:t>
      </w:r>
      <w:r>
        <w:t>3</w:t>
      </w:r>
      <w:r>
        <w:t>條</w:t>
      </w:r>
      <w:r w:rsidR="00280CF2" w:rsidRPr="005713E0">
        <w:t>（後備軍人之定義）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本條例所稱後備軍人，其對象如左：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一、常備軍官及常備士官依法退伍者。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二、志願在營服役之預備軍官、預備士官及士兵依法退伍者。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三、作戰或因公負傷依法離營者。</w:t>
      </w:r>
    </w:p>
    <w:p w:rsidR="00280CF2" w:rsidRPr="005713E0" w:rsidRDefault="00515B14" w:rsidP="00F24751">
      <w:pPr>
        <w:pStyle w:val="2"/>
      </w:pPr>
      <w:bookmarkStart w:id="3" w:name="a4"/>
      <w:bookmarkEnd w:id="3"/>
      <w:r>
        <w:t>第</w:t>
      </w:r>
      <w:r>
        <w:t>4</w:t>
      </w:r>
      <w:r>
        <w:t>條</w:t>
      </w:r>
      <w:r w:rsidR="00280CF2" w:rsidRPr="005713E0">
        <w:t>（參加公務人員考試之優待）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前條後備軍人參加公務人員考試時，得予左列優待：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一、應考資格，除特殊類科外，得以軍階及軍職年資，應性質相近之考試。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二、考試成績，得酌予加分，以不超過總成績十分為限。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三、應考年齡，得酌予放寬。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四、體格檢驗，得寬定標準。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五、應繳規費，得予減少。</w:t>
      </w:r>
    </w:p>
    <w:p w:rsidR="00280CF2" w:rsidRPr="00F24751" w:rsidRDefault="00515B14" w:rsidP="00F24751">
      <w:pPr>
        <w:pStyle w:val="2"/>
      </w:pPr>
      <w:bookmarkStart w:id="4" w:name="a5"/>
      <w:bookmarkEnd w:id="4"/>
      <w:r>
        <w:t>第</w:t>
      </w:r>
      <w:r>
        <w:t>5</w:t>
      </w:r>
      <w:r>
        <w:t>條</w:t>
      </w:r>
      <w:r w:rsidR="00280CF2" w:rsidRPr="00F24751">
        <w:t>（轉任公務人員之比敘優待）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後備軍人轉任公務人員之任用比敘，得予左列優待：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一、後備軍人依法取得公務人員任用資格者，與其他候用人員資格相等時，優先任用。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二、後備軍人依法取得公務人員各官等任用資格者，按其軍職官等官階及年資，比敘該官等內相當職等及俸級。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三、任用公務人員之機關，遇有緊縮或改組時，應優先留用。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四、作戰或因公負傷者，除依第一款至第三款規定外，並依其功勳，優敘俸級。</w:t>
      </w:r>
    </w:p>
    <w:p w:rsidR="00280CF2" w:rsidRPr="005713E0" w:rsidRDefault="000E55E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5713E0">
        <w:rPr>
          <w:rFonts w:ascii="Arial Unicode MS" w:hAnsi="Arial Unicode MS"/>
          <w:color w:val="666699"/>
          <w:sz w:val="20"/>
        </w:rPr>
        <w:t xml:space="preserve">　　</w:t>
      </w:r>
      <w:r w:rsidR="00280CF2" w:rsidRPr="005713E0">
        <w:rPr>
          <w:rFonts w:ascii="Arial Unicode MS" w:hAnsi="Arial Unicode MS"/>
          <w:color w:val="666699"/>
          <w:sz w:val="20"/>
        </w:rPr>
        <w:t>前項各款之比敘標準及其他有關優待事項，應於</w:t>
      </w:r>
      <w:hyperlink r:id="rId18" w:history="1">
        <w:r w:rsidR="00316B66" w:rsidRPr="005713E0">
          <w:rPr>
            <w:rStyle w:val="a3"/>
            <w:rFonts w:ascii="Arial Unicode MS" w:hAnsi="Arial Unicode MS"/>
          </w:rPr>
          <w:t>施行細則</w:t>
        </w:r>
      </w:hyperlink>
      <w:r w:rsidR="00280CF2" w:rsidRPr="005713E0">
        <w:rPr>
          <w:rFonts w:ascii="Arial Unicode MS" w:hAnsi="Arial Unicode MS"/>
          <w:color w:val="666699"/>
          <w:sz w:val="20"/>
        </w:rPr>
        <w:t>中明定之。</w:t>
      </w:r>
    </w:p>
    <w:p w:rsidR="00280CF2" w:rsidRPr="005713E0" w:rsidRDefault="00515B14" w:rsidP="00F24751">
      <w:pPr>
        <w:pStyle w:val="2"/>
      </w:pPr>
      <w:bookmarkStart w:id="5" w:name="a5b1"/>
      <w:bookmarkEnd w:id="5"/>
      <w:r>
        <w:lastRenderedPageBreak/>
        <w:t>第</w:t>
      </w:r>
      <w:r>
        <w:t>5</w:t>
      </w:r>
      <w:r>
        <w:t>條</w:t>
      </w:r>
      <w:r w:rsidR="00280CF2" w:rsidRPr="005713E0">
        <w:t>之</w:t>
      </w:r>
      <w:r>
        <w:t>1</w:t>
      </w:r>
      <w:r w:rsidR="00280CF2" w:rsidRPr="005713E0">
        <w:t>（轉任公務人員考試之規則方式等）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國軍上校以上軍官轉任公務人員，以考試定其資格；其考試類科、應考資格、應考年齡、工作經驗、考試方式、應試科目、成績計算、及格標準及其他有關事項，由考試院另以</w:t>
      </w:r>
      <w:hyperlink r:id="rId19" w:history="1">
        <w:r w:rsidR="00280CF2" w:rsidRPr="008F5F34">
          <w:rPr>
            <w:rStyle w:val="a3"/>
            <w:rFonts w:ascii="Arial Unicode MS" w:hAnsi="Arial Unicode MS"/>
          </w:rPr>
          <w:t>考試規則</w:t>
        </w:r>
      </w:hyperlink>
      <w:r w:rsidR="00280CF2" w:rsidRPr="007F55CF">
        <w:rPr>
          <w:rFonts w:ascii="Arial Unicode MS" w:hAnsi="Arial Unicode MS"/>
          <w:color w:val="17365D"/>
          <w:sz w:val="20"/>
        </w:rPr>
        <w:t>定之。</w:t>
      </w:r>
    </w:p>
    <w:p w:rsidR="00280CF2" w:rsidRPr="005713E0" w:rsidRDefault="000E55E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5713E0">
        <w:rPr>
          <w:rFonts w:ascii="Arial Unicode MS" w:hAnsi="Arial Unicode MS"/>
          <w:color w:val="666699"/>
          <w:sz w:val="20"/>
        </w:rPr>
        <w:t xml:space="preserve">　　</w:t>
      </w:r>
      <w:r w:rsidR="00280CF2" w:rsidRPr="005713E0">
        <w:rPr>
          <w:rFonts w:ascii="Arial Unicode MS" w:hAnsi="Arial Unicode MS"/>
          <w:color w:val="666699"/>
          <w:sz w:val="20"/>
        </w:rPr>
        <w:t>前項考試得按轉任機關分別報名、分別錄取任用，並得依應考人軍職官等官階採行不同考試方式。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第一項考試及格人員取得簡任官等任用資格，並按其軍職官等官階及年資，比敘相當職等及俸級，其轉任簡任低職等職務及先以薦任第八職等或第九職等任用者，除予合格實授外，其依規定應取得之較高官等、職等任用資格，仍予保留。</w:t>
      </w:r>
    </w:p>
    <w:p w:rsidR="00280CF2" w:rsidRPr="005713E0" w:rsidRDefault="000E55E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5713E0">
        <w:rPr>
          <w:rFonts w:ascii="Arial Unicode MS" w:hAnsi="Arial Unicode MS"/>
          <w:color w:val="666699"/>
          <w:sz w:val="20"/>
        </w:rPr>
        <w:t xml:space="preserve">　　</w:t>
      </w:r>
      <w:r w:rsidR="00280CF2" w:rsidRPr="005713E0">
        <w:rPr>
          <w:rFonts w:ascii="Arial Unicode MS" w:hAnsi="Arial Unicode MS"/>
          <w:color w:val="666699"/>
          <w:sz w:val="20"/>
        </w:rPr>
        <w:t>第一項考試及格人員，按報名轉任機關，由國家安全會議、國家安全局、國防部、行政院國軍退除役官兵輔導委員會、行政院海岸巡防署及其所屬機關（構）、中央及直轄市政府役政、軍訓單位任用，並僅得於各轉任機關間轉調。但轉調所屬機關（構），以具有航海（空）、造船、輪機、資訊、電子等特殊專長者為限。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隨同業務移撥行政院海岸巡防署及其所屬機關（構）之國軍上校以上軍官，尚未取得公務人員任用資格者，本條例修正公布施行後，三年內得依原</w:t>
      </w:r>
      <w:hyperlink r:id="rId20" w:history="1">
        <w:r w:rsidR="00280CF2" w:rsidRPr="008D0AEF">
          <w:rPr>
            <w:rStyle w:val="a3"/>
            <w:rFonts w:ascii="Arial Unicode MS" w:hAnsi="Arial Unicode MS"/>
          </w:rPr>
          <w:t>國軍上校以上軍官外職停役轉任公務人員檢覈規則</w:t>
        </w:r>
      </w:hyperlink>
      <w:r w:rsidR="00280CF2" w:rsidRPr="007F55CF">
        <w:rPr>
          <w:rFonts w:ascii="Arial Unicode MS" w:hAnsi="Arial Unicode MS"/>
          <w:color w:val="17365D"/>
          <w:sz w:val="20"/>
        </w:rPr>
        <w:t>辦理。</w:t>
      </w:r>
    </w:p>
    <w:p w:rsidR="00280CF2" w:rsidRPr="005713E0" w:rsidRDefault="000E55E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5713E0">
        <w:rPr>
          <w:rFonts w:ascii="Arial Unicode MS" w:hAnsi="Arial Unicode MS"/>
          <w:color w:val="666699"/>
          <w:sz w:val="20"/>
        </w:rPr>
        <w:t xml:space="preserve">　　</w:t>
      </w:r>
      <w:r w:rsidR="00280CF2" w:rsidRPr="005713E0">
        <w:rPr>
          <w:rFonts w:ascii="Arial Unicode MS" w:hAnsi="Arial Unicode MS"/>
          <w:color w:val="666699"/>
          <w:sz w:val="20"/>
        </w:rPr>
        <w:t>本條例修正公布施行前，國軍上校以上軍官外職停役轉任公務人員，經核定有案者，依原國軍上校以上軍官外職停役轉任公務人員檢覈規則辦理。</w:t>
      </w:r>
    </w:p>
    <w:p w:rsidR="00280CF2" w:rsidRPr="005713E0" w:rsidRDefault="00515B14" w:rsidP="00F24751">
      <w:pPr>
        <w:pStyle w:val="2"/>
      </w:pPr>
      <w:bookmarkStart w:id="6" w:name="a6"/>
      <w:bookmarkEnd w:id="6"/>
      <w:r>
        <w:t>第</w:t>
      </w:r>
      <w:r>
        <w:t>6</w:t>
      </w:r>
      <w:r>
        <w:t>條</w:t>
      </w:r>
      <w:r w:rsidR="00280CF2" w:rsidRPr="005713E0">
        <w:t>（施行細則）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本條例</w:t>
      </w:r>
      <w:hyperlink r:id="rId21" w:history="1">
        <w:r w:rsidR="00280CF2" w:rsidRPr="007F55CF">
          <w:rPr>
            <w:rStyle w:val="a3"/>
          </w:rPr>
          <w:t>施行細則</w:t>
        </w:r>
      </w:hyperlink>
      <w:r w:rsidR="00280CF2" w:rsidRPr="007F55CF">
        <w:rPr>
          <w:rFonts w:ascii="Arial Unicode MS" w:hAnsi="Arial Unicode MS"/>
          <w:color w:val="17365D"/>
          <w:sz w:val="20"/>
        </w:rPr>
        <w:t>，由考試院定之。</w:t>
      </w:r>
    </w:p>
    <w:p w:rsidR="00280CF2" w:rsidRPr="005713E0" w:rsidRDefault="00515B14" w:rsidP="00F24751">
      <w:pPr>
        <w:pStyle w:val="2"/>
      </w:pPr>
      <w:r>
        <w:t>第</w:t>
      </w:r>
      <w:r>
        <w:t>7</w:t>
      </w:r>
      <w:r>
        <w:t>條</w:t>
      </w:r>
      <w:r w:rsidR="00280CF2" w:rsidRPr="005713E0">
        <w:t>（施行日）</w:t>
      </w:r>
    </w:p>
    <w:p w:rsidR="00280CF2" w:rsidRPr="007F55CF" w:rsidRDefault="000E55EF" w:rsidP="001D2CF2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F55CF">
        <w:rPr>
          <w:rFonts w:ascii="Arial Unicode MS" w:hAnsi="Arial Unicode MS"/>
          <w:color w:val="17365D"/>
          <w:sz w:val="20"/>
        </w:rPr>
        <w:t xml:space="preserve">　　</w:t>
      </w:r>
      <w:r w:rsidR="00280CF2" w:rsidRPr="007F55CF">
        <w:rPr>
          <w:rFonts w:ascii="Arial Unicode MS" w:hAnsi="Arial Unicode MS"/>
          <w:color w:val="17365D"/>
          <w:sz w:val="20"/>
        </w:rPr>
        <w:t>本條例自公布日施行。</w:t>
      </w:r>
    </w:p>
    <w:p w:rsidR="001D2CF2" w:rsidRDefault="001D2CF2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</w:p>
    <w:p w:rsidR="007F55CF" w:rsidRPr="005713E0" w:rsidRDefault="007F55CF" w:rsidP="001D2CF2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</w:p>
    <w:p w:rsidR="00D40149" w:rsidRPr="00C1655B" w:rsidRDefault="00D40149" w:rsidP="00D40149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0D4309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1D2CF2" w:rsidRPr="00D40149" w:rsidRDefault="00D40149" w:rsidP="00D40149">
      <w:pPr>
        <w:ind w:leftChars="71" w:left="170"/>
        <w:jc w:val="both"/>
        <w:rPr>
          <w:rFonts w:ascii="Arial Unicode MS" w:hAnsi="Arial Unicode MS"/>
          <w:color w:val="000080"/>
          <w:sz w:val="20"/>
          <w:u w:val="single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2" w:history="1">
        <w:r w:rsidRPr="003E6224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1D2CF2" w:rsidRPr="00D40149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AB" w:rsidRDefault="00E604AB">
      <w:r>
        <w:separator/>
      </w:r>
    </w:p>
  </w:endnote>
  <w:endnote w:type="continuationSeparator" w:id="0">
    <w:p w:rsidR="00E604AB" w:rsidRDefault="00E6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F2" w:rsidRDefault="00280C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0CF2" w:rsidRDefault="00280CF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F2" w:rsidRDefault="00280C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0149">
      <w:rPr>
        <w:rStyle w:val="a7"/>
        <w:noProof/>
      </w:rPr>
      <w:t>1</w:t>
    </w:r>
    <w:r>
      <w:rPr>
        <w:rStyle w:val="a7"/>
      </w:rPr>
      <w:fldChar w:fldCharType="end"/>
    </w:r>
  </w:p>
  <w:p w:rsidR="00280CF2" w:rsidRPr="00F24751" w:rsidRDefault="007E3476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1D2CF2" w:rsidRPr="00F24751">
      <w:rPr>
        <w:rFonts w:ascii="Arial Unicode MS" w:hAnsi="Arial Unicode MS" w:hint="eastAsia"/>
        <w:sz w:val="18"/>
      </w:rPr>
      <w:t>後備軍人轉任公職考試比敘條例</w:t>
    </w:r>
    <w:r>
      <w:rPr>
        <w:rFonts w:ascii="Arial Unicode MS" w:hAnsi="Arial Unicode MS" w:hint="eastAsia"/>
        <w:sz w:val="18"/>
      </w:rPr>
      <w:t>〉〉</w:t>
    </w:r>
    <w:r w:rsidR="00280CF2" w:rsidRPr="00F24751">
      <w:rPr>
        <w:rFonts w:ascii="Arial Unicode MS" w:hAnsi="Arial Unicode MS" w:hint="eastAsia"/>
        <w:sz w:val="18"/>
      </w:rPr>
      <w:t>S-link</w:t>
    </w:r>
    <w:r w:rsidR="00280CF2" w:rsidRPr="00F24751">
      <w:rPr>
        <w:rFonts w:ascii="Arial Unicode MS" w:hAnsi="Arial Unicode MS" w:hint="eastAsia"/>
        <w:sz w:val="18"/>
      </w:rPr>
      <w:t>電子六法全書</w:t>
    </w:r>
    <w:r w:rsidR="00280CF2" w:rsidRPr="00F24751">
      <w:rPr>
        <w:rFonts w:ascii="Arial Unicode MS" w:hAnsi="Arial Unicode MS" w:hint="eastAs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AB" w:rsidRDefault="00E604AB">
      <w:r>
        <w:separator/>
      </w:r>
    </w:p>
  </w:footnote>
  <w:footnote w:type="continuationSeparator" w:id="0">
    <w:p w:rsidR="00E604AB" w:rsidRDefault="00E6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CF2"/>
    <w:rsid w:val="00015F3A"/>
    <w:rsid w:val="000E55EF"/>
    <w:rsid w:val="0017333F"/>
    <w:rsid w:val="00184B2A"/>
    <w:rsid w:val="001B14CD"/>
    <w:rsid w:val="001D2CF2"/>
    <w:rsid w:val="00230B50"/>
    <w:rsid w:val="00280CF2"/>
    <w:rsid w:val="002D6AB1"/>
    <w:rsid w:val="00316B66"/>
    <w:rsid w:val="004B6012"/>
    <w:rsid w:val="00515B14"/>
    <w:rsid w:val="005713E0"/>
    <w:rsid w:val="005D3EE3"/>
    <w:rsid w:val="007E3476"/>
    <w:rsid w:val="007F55CF"/>
    <w:rsid w:val="00850C64"/>
    <w:rsid w:val="008B3AA4"/>
    <w:rsid w:val="008B62AB"/>
    <w:rsid w:val="008D0AEF"/>
    <w:rsid w:val="008F5F34"/>
    <w:rsid w:val="009322B3"/>
    <w:rsid w:val="009A382F"/>
    <w:rsid w:val="009E3726"/>
    <w:rsid w:val="00A51F89"/>
    <w:rsid w:val="00B63158"/>
    <w:rsid w:val="00C763B5"/>
    <w:rsid w:val="00CD0225"/>
    <w:rsid w:val="00D3038A"/>
    <w:rsid w:val="00D40149"/>
    <w:rsid w:val="00D55C4B"/>
    <w:rsid w:val="00D5668B"/>
    <w:rsid w:val="00E20C0E"/>
    <w:rsid w:val="00E604AB"/>
    <w:rsid w:val="00E67BC1"/>
    <w:rsid w:val="00EC2006"/>
    <w:rsid w:val="00ED76AB"/>
    <w:rsid w:val="00EF7BC2"/>
    <w:rsid w:val="00F16281"/>
    <w:rsid w:val="00F24751"/>
    <w:rsid w:val="00FA3B12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F24751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7F55CF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7F55CF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F24751"/>
    <w:rPr>
      <w:rFonts w:ascii="Arial Unicode MS" w:hAnsi="Arial Unicode MS" w:cs="Arial Unicode MS"/>
      <w:bCs/>
      <w:color w:val="990000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../6law/law/&#24460;&#20633;&#36557;&#20154;&#36681;&#20219;&#20844;&#32887;&#32771;&#35430;&#27604;&#25944;&#26781;&#20363;.htm" TargetMode="External"/><Relationship Id="rId18" Type="http://schemas.openxmlformats.org/officeDocument/2006/relationships/hyperlink" Target="../law3/&#24460;&#20633;&#36557;&#20154;&#36681;&#20219;&#20844;&#32887;&#32771;&#35430;&#27604;&#25944;&#26781;&#20363;&#26045;&#34892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../law3/&#24460;&#20633;&#36557;&#20154;&#36681;&#20219;&#20844;&#32887;&#32771;&#35430;&#27604;&#25944;&#26781;&#20363;&#26045;&#34892;&#32048;&#21063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36557;&#20154;&#21450;&#20854;&#23478;&#23660;&#20778;&#24453;&#26781;&#20363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law.idv.tw/6law/law/&#24460;&#20633;&#36557;&#20154;&#36681;&#20219;&#20844;&#32887;&#32771;&#35430;&#27604;&#25944;&#26781;&#20363;.htm" TargetMode="External"/><Relationship Id="rId20" Type="http://schemas.openxmlformats.org/officeDocument/2006/relationships/hyperlink" Target="../law3/&#22283;&#36557;&#19978;&#26657;&#20197;&#19978;&#36557;&#23448;&#22806;&#32887;&#20572;&#24441;&#36681;&#20219;&#20844;&#21209;&#20154;&#21729;&#27298;&#35208;&#35215;&#21063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R003006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S-link&#20998;&#39006;&#27861;&#35215;&#32034;&#24341;02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3/&#22283;&#36557;&#19978;&#26657;&#20197;&#19978;&#36557;&#23448;&#36681;&#20219;&#20844;&#21209;&#20154;&#21729;&#32771;&#35430;&#35215;&#21063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http://www.6law.idv.tw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-1442016062</vt:i4>
      </vt:variant>
      <vt:variant>
        <vt:i4>27</vt:i4>
      </vt:variant>
      <vt:variant>
        <vt:i4>0</vt:i4>
      </vt:variant>
      <vt:variant>
        <vt:i4>5</vt:i4>
      </vt:variant>
      <vt:variant>
        <vt:lpwstr>..\law3/後備軍人轉任公職考試比敘條例施行細則.doc</vt:lpwstr>
      </vt:variant>
      <vt:variant>
        <vt:lpwstr/>
      </vt:variant>
      <vt:variant>
        <vt:i4>1669414952</vt:i4>
      </vt:variant>
      <vt:variant>
        <vt:i4>24</vt:i4>
      </vt:variant>
      <vt:variant>
        <vt:i4>0</vt:i4>
      </vt:variant>
      <vt:variant>
        <vt:i4>5</vt:i4>
      </vt:variant>
      <vt:variant>
        <vt:lpwstr>../law3/國軍上校以上軍官轉任公務人員考試規則.doc</vt:lpwstr>
      </vt:variant>
      <vt:variant>
        <vt:lpwstr/>
      </vt:variant>
      <vt:variant>
        <vt:i4>-1442016062</vt:i4>
      </vt:variant>
      <vt:variant>
        <vt:i4>21</vt:i4>
      </vt:variant>
      <vt:variant>
        <vt:i4>0</vt:i4>
      </vt:variant>
      <vt:variant>
        <vt:i4>5</vt:i4>
      </vt:variant>
      <vt:variant>
        <vt:lpwstr>..\law3/後備軍人轉任公職考試比敘條例施行細則.doc</vt:lpwstr>
      </vt:variant>
      <vt:variant>
        <vt:lpwstr/>
      </vt:variant>
      <vt:variant>
        <vt:i4>1402650406</vt:i4>
      </vt:variant>
      <vt:variant>
        <vt:i4>18</vt:i4>
      </vt:variant>
      <vt:variant>
        <vt:i4>0</vt:i4>
      </vt:variant>
      <vt:variant>
        <vt:i4>5</vt:i4>
      </vt:variant>
      <vt:variant>
        <vt:lpwstr>軍人及其家屬優待條例.doc</vt:lpwstr>
      </vt:variant>
      <vt:variant>
        <vt:lpwstr>a36</vt:lpwstr>
      </vt:variant>
      <vt:variant>
        <vt:i4>1883671675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http://www.6law.idv.tw/6law/law/後備軍人轉任公職考試比敘條例.htm</vt:lpwstr>
      </vt:variant>
      <vt:variant>
        <vt:lpwstr/>
      </vt:variant>
      <vt:variant>
        <vt:i4>868598418</vt:i4>
      </vt:variant>
      <vt:variant>
        <vt:i4>12</vt:i4>
      </vt:variant>
      <vt:variant>
        <vt:i4>0</vt:i4>
      </vt:variant>
      <vt:variant>
        <vt:i4>5</vt:i4>
      </vt:variant>
      <vt:variant>
        <vt:lpwstr>../S-link分類法規索引02.doc</vt:lpwstr>
      </vt:variant>
      <vt:variant>
        <vt:lpwstr>後備軍人轉任公職考試比敘條例</vt:lpwstr>
      </vt:variant>
      <vt:variant>
        <vt:i4>-1761818906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後備軍人轉任公職考試比敘條例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後備軍人轉任公職考試比敘條例</dc:title>
  <dc:subject/>
  <dc:creator>S-link 電子六法-黃婉玲</dc:creator>
  <cp:keywords/>
  <dc:description/>
  <cp:lastModifiedBy>S-link電子六法黃婉玲</cp:lastModifiedBy>
  <cp:revision>9</cp:revision>
  <dcterms:created xsi:type="dcterms:W3CDTF">2014-11-27T09:22:00Z</dcterms:created>
  <dcterms:modified xsi:type="dcterms:W3CDTF">2018-05-06T06:50:00Z</dcterms:modified>
</cp:coreProperties>
</file>