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2DBD" w14:textId="00DA29F3" w:rsidR="00716032" w:rsidRDefault="008C7DD8" w:rsidP="00716032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7" w:history="1">
        <w:r w:rsidRPr="008C7DD8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71C07F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" o:spid="_x0000_i1027" type="#_x0000_t75" href="https://www.6laws.net/" style="width:32.6pt;height:32.6pt;visibility:visible;mso-wrap-style:square" o:button="t">
              <v:fill o:detectmouseclick="t"/>
              <v:imagedata r:id="rId8" o:title=""/>
            </v:shape>
          </w:pict>
        </w:r>
      </w:hyperlink>
    </w:p>
    <w:p w14:paraId="2E778C9E" w14:textId="57F4DC95" w:rsidR="00716032" w:rsidRDefault="00716032" w:rsidP="00716032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F31546" w:rsidRPr="00F31546">
        <w:rPr>
          <w:sz w:val="18"/>
        </w:rPr>
        <w:t>2022/10/8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48474C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5A126B">
          <w:rPr>
            <w:rStyle w:val="a3"/>
            <w:sz w:val="18"/>
            <w:szCs w:val="20"/>
          </w:rPr>
          <w:t>黃婉玲</w:t>
        </w:r>
      </w:hyperlink>
    </w:p>
    <w:p w14:paraId="3B5A64E3" w14:textId="57212552" w:rsidR="00A6011A" w:rsidRPr="005A5315" w:rsidRDefault="00BB2359" w:rsidP="00716032">
      <w:pPr>
        <w:ind w:rightChars="-66" w:right="-158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5A126B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5A126B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2" w:history="1">
        <w:r w:rsidRPr="00F562F6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C96DBB" w14:paraId="5A2A606B" w14:textId="77777777" w:rsidTr="00090E5B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15DD29FD" w14:textId="77777777" w:rsidR="00A6011A" w:rsidRPr="00090E5B" w:rsidRDefault="005A126B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5A126B">
              <w:rPr>
                <w:rFonts w:ascii="Arial Unicode MS" w:hAnsi="Arial Unicode MS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0A09A5C" w14:textId="77777777" w:rsidR="00A6011A" w:rsidRPr="00C96DBB" w:rsidRDefault="008C18D5" w:rsidP="00C96DBB">
            <w:pPr>
              <w:jc w:val="center"/>
              <w:rPr>
                <w:rFonts w:eastAsia="標楷體"/>
                <w:shadow/>
                <w:sz w:val="32"/>
                <w:szCs w:val="26"/>
              </w:rPr>
            </w:pPr>
            <w:r w:rsidRPr="0048474C">
              <w:rPr>
                <w:rFonts w:eastAsia="標楷體" w:hint="eastAsia"/>
                <w:shadow/>
                <w:sz w:val="30"/>
              </w:rPr>
              <w:t>臺灣警察專科學校組織條例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C4EB842" w14:textId="77777777" w:rsidR="00E714CD" w:rsidRPr="00C96DBB" w:rsidRDefault="00E714CD" w:rsidP="00E714CD">
            <w:pPr>
              <w:adjustRightInd w:val="0"/>
              <w:snapToGrid w:val="0"/>
              <w:ind w:leftChars="-5" w:left="-12" w:rightChars="-16" w:right="-38"/>
              <w:rPr>
                <w:rFonts w:ascii="Arial Unicode MS" w:hAnsi="Arial Unicode MS"/>
                <w:color w:val="990000"/>
                <w:sz w:val="20"/>
                <w:szCs w:val="20"/>
              </w:rPr>
            </w:pPr>
            <w:r w:rsidRPr="00C96DBB">
              <w:rPr>
                <w:rFonts w:ascii="Arial Unicode MS" w:hAnsi="Arial Unicode MS"/>
                <w:color w:val="990000"/>
                <w:sz w:val="20"/>
                <w:szCs w:val="20"/>
              </w:rPr>
              <w:t>【</w:t>
            </w:r>
            <w:r w:rsidRPr="00C96DBB">
              <w:rPr>
                <w:rFonts w:ascii="Arial Unicode MS" w:hAnsi="Arial Unicode MS" w:hint="eastAsia"/>
                <w:color w:val="990000"/>
                <w:sz w:val="20"/>
                <w:szCs w:val="20"/>
              </w:rPr>
              <w:t>制定</w:t>
            </w:r>
            <w:r w:rsidRPr="00C96DBB">
              <w:rPr>
                <w:rFonts w:ascii="Arial Unicode MS" w:hAnsi="Arial Unicode MS"/>
                <w:color w:val="990000"/>
                <w:sz w:val="20"/>
                <w:szCs w:val="20"/>
              </w:rPr>
              <w:t>日期】</w:t>
            </w:r>
            <w:r w:rsidRPr="00C96DBB">
              <w:rPr>
                <w:rFonts w:ascii="Arial Unicode MS" w:hAnsi="Arial Unicode MS" w:hint="eastAsia"/>
                <w:color w:val="990000"/>
                <w:sz w:val="20"/>
                <w:szCs w:val="20"/>
              </w:rPr>
              <w:t>民國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77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年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4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月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16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日</w:t>
            </w:r>
          </w:p>
          <w:p w14:paraId="42FF609E" w14:textId="77777777" w:rsidR="00A6011A" w:rsidRPr="00C96DBB" w:rsidRDefault="00E714CD" w:rsidP="00E64757">
            <w:pPr>
              <w:ind w:leftChars="-6" w:left="-14"/>
              <w:jc w:val="both"/>
              <w:rPr>
                <w:rFonts w:ascii="Arial Unicode MS" w:hAnsi="Arial Unicode MS"/>
                <w:color w:val="990000"/>
                <w:sz w:val="20"/>
              </w:rPr>
            </w:pPr>
            <w:r w:rsidRPr="00C96DBB">
              <w:rPr>
                <w:rFonts w:ascii="Arial Unicode MS" w:hAnsi="Arial Unicode MS"/>
                <w:color w:val="990000"/>
                <w:sz w:val="20"/>
                <w:szCs w:val="20"/>
              </w:rPr>
              <w:t>【</w:t>
            </w:r>
            <w:r w:rsidRPr="00C96DBB">
              <w:rPr>
                <w:rFonts w:ascii="Arial Unicode MS" w:hAnsi="Arial Unicode MS" w:hint="eastAsia"/>
                <w:color w:val="990000"/>
                <w:sz w:val="20"/>
                <w:szCs w:val="20"/>
              </w:rPr>
              <w:t>公布日期</w:t>
            </w:r>
            <w:r w:rsidRPr="00C96DBB">
              <w:rPr>
                <w:rFonts w:ascii="Arial Unicode MS" w:hAnsi="Arial Unicode MS"/>
                <w:color w:val="990000"/>
                <w:sz w:val="20"/>
                <w:szCs w:val="20"/>
              </w:rPr>
              <w:t>】</w:t>
            </w:r>
            <w:r w:rsidRPr="00C96DBB">
              <w:rPr>
                <w:rFonts w:ascii="Arial Unicode MS" w:hAnsi="Arial Unicode MS" w:hint="eastAsia"/>
                <w:color w:val="990000"/>
                <w:sz w:val="20"/>
                <w:szCs w:val="20"/>
              </w:rPr>
              <w:t>民國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77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年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4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月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29</w:t>
            </w:r>
            <w:r w:rsidR="00C96DBB" w:rsidRPr="00C96DBB">
              <w:rPr>
                <w:rFonts w:ascii="Arial Unicode MS" w:hAnsi="Arial Unicode MS" w:hint="eastAsia"/>
                <w:color w:val="990000"/>
                <w:sz w:val="20"/>
              </w:rPr>
              <w:t>日</w:t>
            </w:r>
          </w:p>
        </w:tc>
      </w:tr>
    </w:tbl>
    <w:p w14:paraId="26C1CC9A" w14:textId="2E8A0B3A" w:rsidR="00FC5363" w:rsidRPr="005A5315" w:rsidRDefault="00BB2359" w:rsidP="00BB2359">
      <w:pPr>
        <w:ind w:rightChars="8" w:right="19"/>
        <w:jc w:val="center"/>
        <w:rPr>
          <w:rFonts w:ascii="Arial Unicode MS" w:hAnsi="Arial Unicode MS"/>
          <w:color w:val="808080"/>
          <w:sz w:val="2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臺灣警察專科學校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5A126B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5A126B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73D300B7" w14:textId="77777777" w:rsidR="00A6011A" w:rsidRPr="00716032" w:rsidRDefault="00A6011A" w:rsidP="00716032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716032">
        <w:rPr>
          <w:color w:val="990000"/>
        </w:rPr>
        <w:t>【</w:t>
      </w:r>
      <w:r w:rsidRPr="00716032">
        <w:rPr>
          <w:rFonts w:hint="eastAsia"/>
          <w:color w:val="990000"/>
        </w:rPr>
        <w:t>法規沿革</w:t>
      </w:r>
      <w:r w:rsidRPr="00716032">
        <w:rPr>
          <w:color w:val="990000"/>
        </w:rPr>
        <w:t>】</w:t>
      </w:r>
    </w:p>
    <w:p w14:paraId="00CF6558" w14:textId="77777777" w:rsidR="00C96DBB" w:rsidRPr="00C96DBB" w:rsidRDefault="00C96DBB" w:rsidP="00C96DBB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C96DBB">
        <w:rPr>
          <w:rFonts w:ascii="Arial Unicode MS" w:hAnsi="Arial Unicode MS" w:hint="eastAsia"/>
          <w:b/>
          <w:color w:val="666699"/>
          <w:sz w:val="18"/>
        </w:rPr>
        <w:t>1</w:t>
      </w:r>
      <w:r w:rsidR="00E64757">
        <w:rPr>
          <w:rFonts w:ascii="Arial Unicode MS" w:hAnsi="Arial Unicode MS" w:hint="eastAsia"/>
          <w:b/>
          <w:color w:val="666699"/>
          <w:sz w:val="18"/>
        </w:rPr>
        <w:t>‧</w:t>
      </w:r>
      <w:r w:rsidRPr="00C96DBB">
        <w:rPr>
          <w:rFonts w:ascii="Arial Unicode MS" w:hAnsi="Arial Unicode MS" w:hint="eastAsia"/>
          <w:color w:val="666699"/>
          <w:sz w:val="18"/>
        </w:rPr>
        <w:t>中華民國七十七年四月二十九日總統華總（一）義字第</w:t>
      </w:r>
      <w:r w:rsidRPr="00C96DBB">
        <w:rPr>
          <w:rFonts w:ascii="Arial Unicode MS" w:hAnsi="Arial Unicode MS" w:hint="eastAsia"/>
          <w:color w:val="666699"/>
          <w:sz w:val="18"/>
        </w:rPr>
        <w:t>1580</w:t>
      </w:r>
      <w:r w:rsidRPr="00C96DBB">
        <w:rPr>
          <w:rFonts w:ascii="Arial Unicode MS" w:hAnsi="Arial Unicode MS" w:hint="eastAsia"/>
          <w:color w:val="666699"/>
          <w:sz w:val="18"/>
        </w:rPr>
        <w:t>號令制定公布全文</w:t>
      </w:r>
      <w:r w:rsidRPr="00C96DBB">
        <w:rPr>
          <w:rFonts w:ascii="Arial Unicode MS" w:hAnsi="Arial Unicode MS" w:hint="eastAsia"/>
          <w:color w:val="666699"/>
          <w:sz w:val="18"/>
        </w:rPr>
        <w:t>17</w:t>
      </w:r>
      <w:r w:rsidRPr="00C96DBB">
        <w:rPr>
          <w:rFonts w:ascii="Arial Unicode MS" w:hAnsi="Arial Unicode MS" w:hint="eastAsia"/>
          <w:color w:val="666699"/>
          <w:sz w:val="18"/>
        </w:rPr>
        <w:t>條</w:t>
      </w:r>
    </w:p>
    <w:p w14:paraId="2F6F93FF" w14:textId="77777777" w:rsidR="006E50AA" w:rsidRPr="00A605F5" w:rsidRDefault="006E50AA" w:rsidP="00E11C5F">
      <w:pPr>
        <w:ind w:left="142"/>
        <w:jc w:val="both"/>
        <w:rPr>
          <w:rFonts w:ascii="新細明體" w:hAnsi="新細明體"/>
          <w:color w:val="990000"/>
          <w:sz w:val="20"/>
        </w:rPr>
      </w:pPr>
    </w:p>
    <w:p w14:paraId="668D6BDC" w14:textId="49A18F34" w:rsidR="006E50AA" w:rsidRPr="00716032" w:rsidRDefault="00A605F5" w:rsidP="00716032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5A9BDEE2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C96DBB" w:rsidRPr="00716032">
        <w:rPr>
          <w:rFonts w:hint="eastAsia"/>
        </w:rPr>
        <w:t>（</w:t>
      </w:r>
      <w:r w:rsidR="008C18D5" w:rsidRPr="00716032">
        <w:rPr>
          <w:rFonts w:hint="eastAsia"/>
        </w:rPr>
        <w:t>立法依據</w:t>
      </w:r>
      <w:r w:rsidR="00A605F5">
        <w:rPr>
          <w:rFonts w:hint="eastAsia"/>
        </w:rPr>
        <w:t>）</w:t>
      </w:r>
    </w:p>
    <w:p w14:paraId="0F398CCD" w14:textId="4B9F8775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本條例依警察教育條例</w:t>
      </w:r>
      <w:hyperlink r:id="rId16" w:anchor="a2" w:history="1">
        <w:r w:rsidR="008C18D5" w:rsidRPr="00B00A32">
          <w:rPr>
            <w:rStyle w:val="a3"/>
            <w:rFonts w:hint="eastAsia"/>
          </w:rPr>
          <w:t>第二條</w:t>
        </w:r>
      </w:hyperlink>
      <w:r w:rsidR="008C18D5" w:rsidRPr="00B00A32">
        <w:rPr>
          <w:rFonts w:ascii="Arial Unicode MS" w:hAnsi="Arial Unicode MS" w:hint="eastAsia"/>
          <w:color w:val="17365D"/>
          <w:sz w:val="20"/>
        </w:rPr>
        <w:t>第二項規定制定之。</w:t>
      </w:r>
    </w:p>
    <w:p w14:paraId="30D15C9C" w14:textId="77777777" w:rsidR="00A605F5" w:rsidRDefault="00BB2359" w:rsidP="00716032">
      <w:pPr>
        <w:pStyle w:val="2"/>
        <w:rPr>
          <w:rFonts w:hint="eastAsia"/>
        </w:rPr>
      </w:pPr>
      <w:bookmarkStart w:id="1" w:name="a2"/>
      <w:bookmarkEnd w:id="1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C96DBB" w:rsidRPr="00C96DBB">
        <w:rPr>
          <w:rFonts w:hint="eastAsia"/>
        </w:rPr>
        <w:t>（</w:t>
      </w:r>
      <w:r w:rsidR="008C18D5" w:rsidRPr="00C96DBB">
        <w:rPr>
          <w:rFonts w:hint="eastAsia"/>
        </w:rPr>
        <w:t>隸屬機關</w:t>
      </w:r>
      <w:r w:rsidR="00A605F5">
        <w:rPr>
          <w:rFonts w:hint="eastAsia"/>
        </w:rPr>
        <w:t>）</w:t>
      </w:r>
    </w:p>
    <w:p w14:paraId="4F27D52D" w14:textId="23EA61BD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臺灣地區設立臺灣警察專科學校（以下簡稱本校），隸屬</w:t>
      </w:r>
      <w:hyperlink r:id="rId17" w:tgtFrame="_blank" w:history="1">
        <w:r w:rsidR="00434AE7" w:rsidRPr="00434AE7">
          <w:rPr>
            <w:rStyle w:val="a3"/>
            <w:szCs w:val="26"/>
          </w:rPr>
          <w:t>內政部警政署</w:t>
        </w:r>
      </w:hyperlink>
      <w:r w:rsidR="008C18D5" w:rsidRPr="00B00A32">
        <w:rPr>
          <w:rFonts w:ascii="Arial Unicode MS" w:hAnsi="Arial Unicode MS" w:hint="eastAsia"/>
          <w:color w:val="17365D"/>
          <w:sz w:val="20"/>
        </w:rPr>
        <w:t>，依</w:t>
      </w:r>
      <w:hyperlink r:id="rId18" w:history="1">
        <w:r w:rsidR="008C18D5" w:rsidRPr="00B00A32">
          <w:rPr>
            <w:rStyle w:val="a3"/>
            <w:rFonts w:hint="eastAsia"/>
          </w:rPr>
          <w:t>警察教育條例</w:t>
        </w:r>
      </w:hyperlink>
      <w:r w:rsidR="008C18D5" w:rsidRPr="00B00A32">
        <w:rPr>
          <w:rFonts w:ascii="Arial Unicode MS" w:hAnsi="Arial Unicode MS" w:hint="eastAsia"/>
          <w:color w:val="17365D"/>
          <w:sz w:val="20"/>
        </w:rPr>
        <w:t>有關規定辦理警察教育；並依</w:t>
      </w:r>
      <w:hyperlink r:id="rId19" w:history="1">
        <w:r w:rsidR="008C18D5" w:rsidRPr="00B00A32">
          <w:rPr>
            <w:rStyle w:val="a3"/>
            <w:rFonts w:hint="eastAsia"/>
          </w:rPr>
          <w:t>專科學校法</w:t>
        </w:r>
      </w:hyperlink>
      <w:r w:rsidR="008C18D5" w:rsidRPr="00B00A32">
        <w:rPr>
          <w:rFonts w:ascii="Arial Unicode MS" w:hAnsi="Arial Unicode MS" w:hint="eastAsia"/>
          <w:color w:val="17365D"/>
          <w:sz w:val="20"/>
        </w:rPr>
        <w:t>有關規定，兼受教育部之指導。</w:t>
      </w:r>
    </w:p>
    <w:p w14:paraId="54232E3F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C96DBB" w:rsidRPr="00C96DBB">
        <w:rPr>
          <w:rFonts w:hint="eastAsia"/>
        </w:rPr>
        <w:t>（</w:t>
      </w:r>
      <w:r w:rsidR="008C18D5" w:rsidRPr="00C96DBB">
        <w:rPr>
          <w:rFonts w:hint="eastAsia"/>
        </w:rPr>
        <w:t>各處室館之設置</w:t>
      </w:r>
      <w:r w:rsidR="00A605F5">
        <w:rPr>
          <w:rFonts w:hint="eastAsia"/>
        </w:rPr>
        <w:t>）</w:t>
      </w:r>
    </w:p>
    <w:p w14:paraId="522A050B" w14:textId="59C8C655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本校設左列各處、室、館：</w:t>
      </w:r>
    </w:p>
    <w:p w14:paraId="683954F5" w14:textId="77777777" w:rsidR="00A605F5" w:rsidRDefault="008C18D5" w:rsidP="008C18D5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 w:rsidRPr="00B00A32">
        <w:rPr>
          <w:rFonts w:ascii="Arial Unicode MS" w:hAnsi="Arial Unicode MS" w:hint="eastAsia"/>
          <w:color w:val="17365D"/>
          <w:sz w:val="20"/>
        </w:rPr>
        <w:t xml:space="preserve">　　一、教務處：掌理有關教務事項</w:t>
      </w:r>
      <w:r w:rsidR="00A605F5">
        <w:rPr>
          <w:rFonts w:ascii="Arial Unicode MS" w:hAnsi="Arial Unicode MS" w:hint="eastAsia"/>
          <w:color w:val="17365D"/>
          <w:sz w:val="20"/>
        </w:rPr>
        <w:t>。</w:t>
      </w:r>
    </w:p>
    <w:p w14:paraId="2CA764B4" w14:textId="28C26A4A" w:rsidR="00A605F5" w:rsidRDefault="00A605F5" w:rsidP="008C18D5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B00A32">
        <w:rPr>
          <w:rFonts w:ascii="Arial Unicode MS" w:hAnsi="Arial Unicode MS" w:hint="eastAsia"/>
          <w:color w:val="17365D"/>
          <w:sz w:val="20"/>
        </w:rPr>
        <w:t>二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8C18D5" w:rsidRPr="00B00A32">
        <w:rPr>
          <w:rFonts w:ascii="Arial Unicode MS" w:hAnsi="Arial Unicode MS" w:hint="eastAsia"/>
          <w:color w:val="17365D"/>
          <w:sz w:val="20"/>
        </w:rPr>
        <w:t>訓導處：掌理有關訓導及畢業生（員）輔導事項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29DEB73C" w14:textId="01547A30" w:rsidR="00A605F5" w:rsidRDefault="00A605F5" w:rsidP="008C18D5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B00A32">
        <w:rPr>
          <w:rFonts w:ascii="Arial Unicode MS" w:hAnsi="Arial Unicode MS" w:hint="eastAsia"/>
          <w:color w:val="17365D"/>
          <w:sz w:val="20"/>
        </w:rPr>
        <w:t>三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8C18D5" w:rsidRPr="00B00A32">
        <w:rPr>
          <w:rFonts w:ascii="Arial Unicode MS" w:hAnsi="Arial Unicode MS" w:hint="eastAsia"/>
          <w:color w:val="17365D"/>
          <w:sz w:val="20"/>
        </w:rPr>
        <w:t>總務處：掌理有關總務事項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4202070A" w14:textId="10459A19" w:rsidR="00A605F5" w:rsidRDefault="00A605F5" w:rsidP="008C18D5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B00A32">
        <w:rPr>
          <w:rFonts w:ascii="Arial Unicode MS" w:hAnsi="Arial Unicode MS" w:hint="eastAsia"/>
          <w:color w:val="17365D"/>
          <w:sz w:val="20"/>
        </w:rPr>
        <w:t>四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8C18D5" w:rsidRPr="00B00A32">
        <w:rPr>
          <w:rFonts w:ascii="Arial Unicode MS" w:hAnsi="Arial Unicode MS" w:hint="eastAsia"/>
          <w:color w:val="17365D"/>
          <w:sz w:val="20"/>
        </w:rPr>
        <w:t>秘書室：掌理有關會議、法規、研考、文書、印信及檔案事項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4B9C35C4" w14:textId="609D5F2B" w:rsidR="00A605F5" w:rsidRDefault="00A605F5" w:rsidP="008C18D5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B00A32">
        <w:rPr>
          <w:rFonts w:ascii="Arial Unicode MS" w:hAnsi="Arial Unicode MS" w:hint="eastAsia"/>
          <w:color w:val="17365D"/>
          <w:sz w:val="20"/>
        </w:rPr>
        <w:t>五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8C18D5" w:rsidRPr="00B00A32">
        <w:rPr>
          <w:rFonts w:ascii="Arial Unicode MS" w:hAnsi="Arial Unicode MS" w:hint="eastAsia"/>
          <w:color w:val="17365D"/>
          <w:sz w:val="20"/>
        </w:rPr>
        <w:t>科學實驗室：掌理有關警察各種科學之實驗、研究及鑑定事項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664FDDEB" w14:textId="1642C1DD" w:rsidR="00A605F5" w:rsidRDefault="00A605F5" w:rsidP="008C18D5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B00A32">
        <w:rPr>
          <w:rFonts w:ascii="Arial Unicode MS" w:hAnsi="Arial Unicode MS" w:hint="eastAsia"/>
          <w:color w:val="17365D"/>
          <w:sz w:val="20"/>
        </w:rPr>
        <w:t>六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8C18D5" w:rsidRPr="00B00A32">
        <w:rPr>
          <w:rFonts w:ascii="Arial Unicode MS" w:hAnsi="Arial Unicode MS" w:hint="eastAsia"/>
          <w:color w:val="17365D"/>
          <w:sz w:val="20"/>
        </w:rPr>
        <w:t>圖書館：掌理有關圖書館管理事項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42A6EB7B" w14:textId="4ECBE468" w:rsidR="008C18D5" w:rsidRPr="008C18D5" w:rsidRDefault="00A371F7" w:rsidP="008C18D5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F31546">
        <w:rPr>
          <w:rFonts w:hint="eastAsia"/>
          <w:sz w:val="18"/>
        </w:rPr>
        <w:t>﹝</w:t>
      </w:r>
      <w:r w:rsidRPr="00F31546">
        <w:rPr>
          <w:rFonts w:hint="eastAsia"/>
          <w:sz w:val="18"/>
        </w:rPr>
        <w:t>2</w:t>
      </w:r>
      <w:r w:rsidRPr="00F31546">
        <w:rPr>
          <w:rFonts w:hint="eastAsia"/>
          <w:sz w:val="18"/>
        </w:rPr>
        <w:t>﹞</w:t>
      </w:r>
      <w:r w:rsidR="008C18D5" w:rsidRPr="008C18D5">
        <w:rPr>
          <w:rFonts w:ascii="Arial Unicode MS" w:hAnsi="Arial Unicode MS" w:hint="eastAsia"/>
          <w:color w:val="666699"/>
          <w:sz w:val="20"/>
        </w:rPr>
        <w:t>前項各處得分組辦事。</w:t>
      </w:r>
    </w:p>
    <w:p w14:paraId="532306F8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分部之設置</w:t>
      </w:r>
      <w:r w:rsidR="00A605F5">
        <w:rPr>
          <w:rFonts w:hint="eastAsia"/>
        </w:rPr>
        <w:t>）</w:t>
      </w:r>
    </w:p>
    <w:p w14:paraId="006249DB" w14:textId="383B0594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本校得視實際需要分設有關科、班；並得層報內政部會同教育部核准設立分部。</w:t>
      </w:r>
    </w:p>
    <w:p w14:paraId="769675B6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校長、教育長之設置</w:t>
      </w:r>
      <w:r w:rsidR="00A605F5">
        <w:rPr>
          <w:rFonts w:hint="eastAsia"/>
        </w:rPr>
        <w:t>）</w:t>
      </w:r>
    </w:p>
    <w:p w14:paraId="0F015CFC" w14:textId="0AAE40F0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本校置校長一人，綜理校務，警監；教育長一人，承校長之命襄理校務，警監或警正。</w:t>
      </w:r>
    </w:p>
    <w:p w14:paraId="4166BA3E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教師、教官之分級及編制</w:t>
      </w:r>
      <w:r w:rsidR="00A605F5">
        <w:rPr>
          <w:rFonts w:hint="eastAsia"/>
        </w:rPr>
        <w:t>）</w:t>
      </w:r>
    </w:p>
    <w:p w14:paraId="3B2F6926" w14:textId="7616C4EB" w:rsidR="00A605F5" w:rsidRDefault="00A371F7" w:rsidP="008C18D5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本校置教授、副教授、講師、助教二十人至四十六人，均依</w:t>
      </w:r>
      <w:hyperlink r:id="rId20" w:history="1">
        <w:r w:rsidR="008C18D5" w:rsidRPr="00B00A32">
          <w:rPr>
            <w:rStyle w:val="a3"/>
            <w:rFonts w:hint="eastAsia"/>
          </w:rPr>
          <w:t>教育人員任用條例</w:t>
        </w:r>
      </w:hyperlink>
      <w:r w:rsidR="008C18D5" w:rsidRPr="00B00A32">
        <w:rPr>
          <w:rFonts w:ascii="Arial Unicode MS" w:hAnsi="Arial Unicode MS" w:hint="eastAsia"/>
          <w:color w:val="17365D"/>
          <w:sz w:val="20"/>
        </w:rPr>
        <w:t>之規定聘任；教官四十人至九十四人，其中一人得列警正或警監，九人至二十二人，得列警正，十三人至三十一人，得列警佐或警正；餘警佐</w:t>
      </w:r>
      <w:r w:rsidR="00A605F5">
        <w:rPr>
          <w:rFonts w:ascii="Arial Unicode MS" w:hAnsi="Arial Unicode MS" w:hint="eastAsia"/>
          <w:color w:val="17365D"/>
          <w:sz w:val="20"/>
        </w:rPr>
        <w:t>。</w:t>
      </w:r>
    </w:p>
    <w:p w14:paraId="4425384C" w14:textId="7F06554D" w:rsidR="008C18D5" w:rsidRPr="008C18D5" w:rsidRDefault="00A371F7" w:rsidP="008C18D5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F31546">
        <w:rPr>
          <w:rFonts w:hint="eastAsia"/>
          <w:sz w:val="18"/>
        </w:rPr>
        <w:t>﹝</w:t>
      </w:r>
      <w:r w:rsidRPr="00F31546">
        <w:rPr>
          <w:rFonts w:hint="eastAsia"/>
          <w:sz w:val="18"/>
        </w:rPr>
        <w:t>2</w:t>
      </w:r>
      <w:r w:rsidRPr="00F31546">
        <w:rPr>
          <w:rFonts w:hint="eastAsia"/>
          <w:sz w:val="18"/>
        </w:rPr>
        <w:t>﹞</w:t>
      </w:r>
      <w:r w:rsidR="008C18D5" w:rsidRPr="008C18D5">
        <w:rPr>
          <w:rFonts w:ascii="Arial Unicode MS" w:hAnsi="Arial Unicode MS" w:hint="eastAsia"/>
          <w:color w:val="666699"/>
          <w:sz w:val="20"/>
        </w:rPr>
        <w:t>本校各科、班及分部各置主任一人，由教授、副教授或警正以上教官兼任之。</w:t>
      </w:r>
    </w:p>
    <w:p w14:paraId="1C5D3B05" w14:textId="77777777" w:rsidR="00A605F5" w:rsidRDefault="00BB2359" w:rsidP="00716032">
      <w:pPr>
        <w:pStyle w:val="2"/>
        <w:rPr>
          <w:rFonts w:hint="eastAsia"/>
        </w:rPr>
      </w:pPr>
      <w:bookmarkStart w:id="2" w:name="a7"/>
      <w:bookmarkEnd w:id="2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人員編制</w:t>
      </w:r>
      <w:r w:rsidR="00A605F5">
        <w:rPr>
          <w:rFonts w:hint="eastAsia"/>
        </w:rPr>
        <w:t>）</w:t>
      </w:r>
    </w:p>
    <w:p w14:paraId="5034C6D1" w14:textId="4567C154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置主任秘書一人，警正或警監；主任五人，警正，其中三人職務得列薦任第八職等至第九職等；秘書一人，警正；編審二人，技正二人，職務均列薦任第七職等至第八職等；組長六人至十二人，警佐或警正；組</w:t>
      </w:r>
      <w:r w:rsidR="008C18D5" w:rsidRPr="00B00A32">
        <w:rPr>
          <w:rFonts w:ascii="Arial Unicode MS" w:hAnsi="Arial Unicode MS" w:hint="eastAsia"/>
          <w:color w:val="17365D"/>
          <w:sz w:val="20"/>
        </w:rPr>
        <w:lastRenderedPageBreak/>
        <w:t>員二十一人至三十五人，警佐，其中五人得列警正，二人職務得列薦任第六職等至第七職等，四人至八人職務得列委任第四職等至第五職等；技士三人至五人，職務列委任第四職等至第五職等，其中一人職務得列薦任第六職等至第七職等；技佐三人至五人，職務列委任第三職等至第五職等；辦事員十二人至十六人，職務列委任第三職等至第四職等；雇員十六人至二十人，僱用。</w:t>
      </w:r>
    </w:p>
    <w:p w14:paraId="2D8F7258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醫務室之設置及人員編制</w:t>
      </w:r>
      <w:r w:rsidR="00A605F5">
        <w:rPr>
          <w:rFonts w:hint="eastAsia"/>
        </w:rPr>
        <w:t>）</w:t>
      </w:r>
    </w:p>
    <w:p w14:paraId="35F27ACF" w14:textId="6EE83E74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本校設醫務室，掌理有關保健、醫護事項。置醫師二人或三人，職務列委任第五職等或薦任第六職等至第八職等，必要時得依</w:t>
      </w:r>
      <w:hyperlink r:id="rId21" w:history="1">
        <w:r w:rsidR="008C18D5" w:rsidRPr="00B00A32">
          <w:rPr>
            <w:rStyle w:val="a3"/>
            <w:rFonts w:hint="eastAsia"/>
          </w:rPr>
          <w:t>聘用人員聘用條例</w:t>
        </w:r>
      </w:hyperlink>
      <w:r w:rsidR="008C18D5" w:rsidRPr="00B00A32">
        <w:rPr>
          <w:rFonts w:ascii="Arial Unicode MS" w:hAnsi="Arial Unicode MS" w:hint="eastAsia"/>
          <w:color w:val="17365D"/>
          <w:sz w:val="20"/>
        </w:rPr>
        <w:t>之規定聘用之，並以醫師一人兼任主任；藥師或藥劑生一人或二人，護士三人或四人；藥劑生、護士職務列委任第三職等至第五職等；藥師職務列委任第五職等或薦任第六職等至第七職等。</w:t>
      </w:r>
    </w:p>
    <w:p w14:paraId="2441A83C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人事室之設置</w:t>
      </w:r>
      <w:r w:rsidR="00A605F5">
        <w:rPr>
          <w:rFonts w:hint="eastAsia"/>
        </w:rPr>
        <w:t>）</w:t>
      </w:r>
    </w:p>
    <w:p w14:paraId="46EEC3C2" w14:textId="5B2EFACE" w:rsidR="00A605F5" w:rsidRDefault="00A371F7" w:rsidP="008C18D5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本校設人事室，置主任一人，職務列薦任第八職等至第九職等，依法辦理人事管理事項</w:t>
      </w:r>
      <w:r w:rsidR="00A605F5">
        <w:rPr>
          <w:rFonts w:ascii="Arial Unicode MS" w:hAnsi="Arial Unicode MS" w:hint="eastAsia"/>
          <w:color w:val="17365D"/>
          <w:sz w:val="20"/>
        </w:rPr>
        <w:t>。</w:t>
      </w:r>
    </w:p>
    <w:p w14:paraId="04FB5998" w14:textId="65DB3DB9" w:rsidR="008C18D5" w:rsidRPr="008C18D5" w:rsidRDefault="00A371F7" w:rsidP="008C18D5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F31546">
        <w:rPr>
          <w:rFonts w:hint="eastAsia"/>
          <w:sz w:val="18"/>
        </w:rPr>
        <w:t>﹝</w:t>
      </w:r>
      <w:r w:rsidRPr="00F31546">
        <w:rPr>
          <w:rFonts w:hint="eastAsia"/>
          <w:sz w:val="18"/>
        </w:rPr>
        <w:t>2</w:t>
      </w:r>
      <w:r w:rsidRPr="00F31546">
        <w:rPr>
          <w:rFonts w:hint="eastAsia"/>
          <w:sz w:val="18"/>
        </w:rPr>
        <w:t>﹞</w:t>
      </w:r>
      <w:r w:rsidR="008C18D5" w:rsidRPr="008C18D5">
        <w:rPr>
          <w:rFonts w:ascii="Arial Unicode MS" w:hAnsi="Arial Unicode MS" w:hint="eastAsia"/>
          <w:color w:val="666699"/>
          <w:sz w:val="20"/>
        </w:rPr>
        <w:t>人事室所需工作人員，就本條例所定員額內派充之。</w:t>
      </w:r>
    </w:p>
    <w:p w14:paraId="46597C06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會計室之設置</w:t>
      </w:r>
      <w:r w:rsidR="00A605F5">
        <w:rPr>
          <w:rFonts w:hint="eastAsia"/>
        </w:rPr>
        <w:t>）</w:t>
      </w:r>
    </w:p>
    <w:p w14:paraId="128CCD5D" w14:textId="2EFCBB70" w:rsidR="00A605F5" w:rsidRDefault="00A371F7" w:rsidP="008C18D5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本校設會計室，置會計主任一人，職務列薦任第八職等至第九職等，依法辦理歲計、會計，並兼辦統計事項</w:t>
      </w:r>
      <w:r w:rsidR="00A605F5">
        <w:rPr>
          <w:rFonts w:ascii="Arial Unicode MS" w:hAnsi="Arial Unicode MS" w:hint="eastAsia"/>
          <w:color w:val="17365D"/>
          <w:sz w:val="20"/>
        </w:rPr>
        <w:t>。</w:t>
      </w:r>
    </w:p>
    <w:p w14:paraId="6DB5B5E0" w14:textId="39F6D75F" w:rsidR="008C18D5" w:rsidRPr="008C18D5" w:rsidRDefault="00A371F7" w:rsidP="008C18D5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F31546">
        <w:rPr>
          <w:rFonts w:hint="eastAsia"/>
          <w:sz w:val="18"/>
        </w:rPr>
        <w:t>﹝</w:t>
      </w:r>
      <w:r w:rsidRPr="00F31546">
        <w:rPr>
          <w:rFonts w:hint="eastAsia"/>
          <w:sz w:val="18"/>
        </w:rPr>
        <w:t>2</w:t>
      </w:r>
      <w:r w:rsidRPr="00F31546">
        <w:rPr>
          <w:rFonts w:hint="eastAsia"/>
          <w:sz w:val="18"/>
        </w:rPr>
        <w:t>﹞</w:t>
      </w:r>
      <w:r w:rsidR="008C18D5" w:rsidRPr="008C18D5">
        <w:rPr>
          <w:rFonts w:ascii="Arial Unicode MS" w:hAnsi="Arial Unicode MS" w:hint="eastAsia"/>
          <w:color w:val="666699"/>
          <w:sz w:val="20"/>
        </w:rPr>
        <w:t>會計室所需工作人員，就本條例所定員額內派充之。</w:t>
      </w:r>
    </w:p>
    <w:p w14:paraId="660E1EC5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學生總隊之設置及掌理事項</w:t>
      </w:r>
      <w:r w:rsidR="00A605F5">
        <w:rPr>
          <w:rFonts w:hint="eastAsia"/>
        </w:rPr>
        <w:t>）</w:t>
      </w:r>
    </w:p>
    <w:p w14:paraId="379843B1" w14:textId="615134E0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設學生總隊，掌理學生軍事訓練及生活管理事項。置總隊長一人，警正；副總隊長一人、大隊長二人，均警正或警佐；副大隊長二人，中隊長八人至二十人，訓導八人至二十人，均警佐或警正；區隊長二十四人至六十人，教育班長八人至二十人，均警佐；事務員八人至二十人，職務列委任第三職等至第四職等。</w:t>
      </w:r>
    </w:p>
    <w:p w14:paraId="45458A34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警衛隊之設置及編制</w:t>
      </w:r>
      <w:r w:rsidR="00A605F5">
        <w:rPr>
          <w:rFonts w:hint="eastAsia"/>
        </w:rPr>
        <w:t>）</w:t>
      </w:r>
    </w:p>
    <w:p w14:paraId="5C78BF33" w14:textId="0F350769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本校設警衛隊，置隊長一人，副隊長一人，隊員十人至十二人，均警佐。</w:t>
      </w:r>
    </w:p>
    <w:p w14:paraId="5ADB1904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警察樂隊之設置及編制</w:t>
      </w:r>
      <w:r w:rsidR="00A605F5">
        <w:rPr>
          <w:rFonts w:hint="eastAsia"/>
        </w:rPr>
        <w:t>）</w:t>
      </w:r>
    </w:p>
    <w:p w14:paraId="3DFD5A37" w14:textId="235A20EB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本校設警察樂隊，置隊長一人，副隊長一人，小隊長二人，均</w:t>
      </w:r>
      <w:r w:rsidR="00CB08B8" w:rsidRPr="00B00A32">
        <w:rPr>
          <w:rFonts w:ascii="Arial Unicode MS" w:hAnsi="Arial Unicode MS" w:hint="eastAsia"/>
          <w:color w:val="17365D"/>
          <w:sz w:val="20"/>
        </w:rPr>
        <w:t>依</w:t>
      </w:r>
      <w:hyperlink r:id="rId22" w:history="1">
        <w:r w:rsidR="00CB08B8" w:rsidRPr="00B00A32">
          <w:rPr>
            <w:rStyle w:val="a3"/>
            <w:rFonts w:hint="eastAsia"/>
          </w:rPr>
          <w:t>聘用人員聘用條例</w:t>
        </w:r>
      </w:hyperlink>
      <w:r w:rsidR="008C18D5" w:rsidRPr="00B00A32">
        <w:rPr>
          <w:rFonts w:ascii="Arial Unicode MS" w:hAnsi="Arial Unicode MS" w:hint="eastAsia"/>
          <w:color w:val="17365D"/>
          <w:sz w:val="20"/>
        </w:rPr>
        <w:t>之規定聘用之；隊員二十八人至四十二人，僱用。</w:t>
      </w:r>
    </w:p>
    <w:p w14:paraId="685D4F48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人員選用</w:t>
      </w:r>
      <w:r w:rsidR="00A605F5">
        <w:rPr>
          <w:rFonts w:hint="eastAsia"/>
        </w:rPr>
        <w:t>）</w:t>
      </w:r>
    </w:p>
    <w:p w14:paraId="71A5C30F" w14:textId="154842A3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hyperlink w:anchor="a7" w:history="1">
        <w:r w:rsidR="008C18D5" w:rsidRPr="00B00A32">
          <w:rPr>
            <w:rStyle w:val="a3"/>
            <w:rFonts w:hint="eastAsia"/>
          </w:rPr>
          <w:t>第七條</w:t>
        </w:r>
      </w:hyperlink>
      <w:r w:rsidR="008C18D5" w:rsidRPr="00B00A32">
        <w:rPr>
          <w:rFonts w:ascii="Arial Unicode MS" w:hAnsi="Arial Unicode MS" w:hint="eastAsia"/>
          <w:color w:val="17365D"/>
          <w:sz w:val="20"/>
        </w:rPr>
        <w:t>至第十一條所定列有官等職等人員，除警察官外，均應依</w:t>
      </w:r>
      <w:hyperlink r:id="rId23" w:history="1">
        <w:r w:rsidR="008C18D5" w:rsidRPr="00B00A32">
          <w:rPr>
            <w:rStyle w:val="a3"/>
            <w:rFonts w:hint="eastAsia"/>
          </w:rPr>
          <w:t>公務人員任用法</w:t>
        </w:r>
      </w:hyperlink>
      <w:r w:rsidR="008C18D5" w:rsidRPr="00B00A32">
        <w:rPr>
          <w:rFonts w:ascii="Arial Unicode MS" w:hAnsi="Arial Unicode MS" w:hint="eastAsia"/>
          <w:color w:val="17365D"/>
          <w:sz w:val="20"/>
        </w:rPr>
        <w:t>取得任用資格，其職務所適用之職系，依公務人員任用</w:t>
      </w:r>
      <w:r w:rsidR="00CB08B8" w:rsidRPr="00B00A32">
        <w:rPr>
          <w:rFonts w:ascii="Arial Unicode MS" w:hAnsi="Arial Unicode MS" w:hint="eastAsia"/>
          <w:color w:val="17365D"/>
          <w:sz w:val="20"/>
        </w:rPr>
        <w:t>法</w:t>
      </w:r>
      <w:hyperlink r:id="rId24" w:anchor="a8" w:history="1">
        <w:r w:rsidR="00CB08B8" w:rsidRPr="00B00A32">
          <w:rPr>
            <w:rStyle w:val="a3"/>
            <w:rFonts w:hint="eastAsia"/>
          </w:rPr>
          <w:t>第八條</w:t>
        </w:r>
      </w:hyperlink>
      <w:r w:rsidR="008C18D5" w:rsidRPr="00B00A32">
        <w:rPr>
          <w:rFonts w:ascii="Arial Unicode MS" w:hAnsi="Arial Unicode MS" w:hint="eastAsia"/>
          <w:color w:val="17365D"/>
          <w:sz w:val="20"/>
        </w:rPr>
        <w:t>之規定，就有關職系選用之。</w:t>
      </w:r>
    </w:p>
    <w:p w14:paraId="773D1BA3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警察學術研究委員會</w:t>
      </w:r>
      <w:r w:rsidR="00A605F5">
        <w:rPr>
          <w:rFonts w:hint="eastAsia"/>
        </w:rPr>
        <w:t>）</w:t>
      </w:r>
    </w:p>
    <w:p w14:paraId="4CC20F6E" w14:textId="30765DBA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本校為適應事實需要，得設各種警察學術研究委員會；所需工作人員就本條例所定員額內調充之。</w:t>
      </w:r>
    </w:p>
    <w:p w14:paraId="6840AA4D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辦事細則</w:t>
      </w:r>
      <w:r w:rsidR="00A605F5">
        <w:rPr>
          <w:rFonts w:hint="eastAsia"/>
        </w:rPr>
        <w:t>）</w:t>
      </w:r>
    </w:p>
    <w:p w14:paraId="0C045993" w14:textId="16EEF3FD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本校辦事細則，由本校擬定，報請內政部警政署核定之。</w:t>
      </w:r>
    </w:p>
    <w:p w14:paraId="45ABA90E" w14:textId="77777777" w:rsidR="00A605F5" w:rsidRDefault="00BB2359" w:rsidP="0071603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C96DBB" w:rsidRPr="00EA40F0">
        <w:rPr>
          <w:rFonts w:hint="eastAsia"/>
        </w:rPr>
        <w:t>（</w:t>
      </w:r>
      <w:r w:rsidR="008C18D5" w:rsidRPr="00EA40F0">
        <w:rPr>
          <w:rFonts w:hint="eastAsia"/>
        </w:rPr>
        <w:t>施行日</w:t>
      </w:r>
      <w:r w:rsidR="00A605F5">
        <w:rPr>
          <w:rFonts w:hint="eastAsia"/>
        </w:rPr>
        <w:t>）</w:t>
      </w:r>
    </w:p>
    <w:p w14:paraId="2DD9D622" w14:textId="2BE2225F" w:rsidR="008C18D5" w:rsidRPr="00B00A32" w:rsidRDefault="00A371F7" w:rsidP="008C18D5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A371F7">
        <w:rPr>
          <w:rFonts w:hint="eastAsia"/>
          <w:color w:val="404040" w:themeColor="text1" w:themeTint="BF"/>
          <w:sz w:val="18"/>
        </w:rPr>
        <w:t>﹝</w:t>
      </w:r>
      <w:r w:rsidRPr="00A371F7">
        <w:rPr>
          <w:rFonts w:hint="eastAsia"/>
          <w:color w:val="404040" w:themeColor="text1" w:themeTint="BF"/>
          <w:sz w:val="18"/>
        </w:rPr>
        <w:t>1</w:t>
      </w:r>
      <w:r w:rsidRPr="00A371F7">
        <w:rPr>
          <w:rFonts w:hint="eastAsia"/>
          <w:color w:val="404040" w:themeColor="text1" w:themeTint="BF"/>
          <w:sz w:val="18"/>
        </w:rPr>
        <w:t>﹞</w:t>
      </w:r>
      <w:r w:rsidR="008C18D5" w:rsidRPr="00B00A32">
        <w:rPr>
          <w:rFonts w:ascii="Arial Unicode MS" w:hAnsi="Arial Unicode MS" w:hint="eastAsia"/>
          <w:color w:val="17365D"/>
          <w:sz w:val="20"/>
        </w:rPr>
        <w:t>本條例自公布日施行。</w:t>
      </w:r>
    </w:p>
    <w:p w14:paraId="18F8912C" w14:textId="77777777" w:rsidR="00E11C5F" w:rsidRDefault="00E11C5F" w:rsidP="00E11C5F">
      <w:pPr>
        <w:ind w:left="142"/>
        <w:jc w:val="both"/>
        <w:rPr>
          <w:rFonts w:ascii="Arial Unicode MS" w:hAnsi="Arial Unicode MS"/>
          <w:color w:val="666699"/>
          <w:sz w:val="20"/>
        </w:rPr>
      </w:pPr>
    </w:p>
    <w:p w14:paraId="12E60F04" w14:textId="77777777" w:rsidR="00EA40F0" w:rsidRPr="00E11C5F" w:rsidRDefault="00EA40F0" w:rsidP="00E11C5F">
      <w:pPr>
        <w:ind w:left="142"/>
        <w:jc w:val="both"/>
        <w:rPr>
          <w:rFonts w:ascii="Arial Unicode MS" w:hAnsi="Arial Unicode MS"/>
          <w:color w:val="666699"/>
          <w:sz w:val="20"/>
        </w:rPr>
      </w:pPr>
    </w:p>
    <w:p w14:paraId="1EDAD19D" w14:textId="77777777" w:rsidR="005A126B" w:rsidRPr="00C1655B" w:rsidRDefault="005A126B" w:rsidP="005A126B">
      <w:pPr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2A31ED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4BA8409D" w14:textId="6CEC55F6" w:rsidR="00431EEC" w:rsidRPr="005A126B" w:rsidRDefault="005A126B" w:rsidP="005A126B">
      <w:pPr>
        <w:ind w:leftChars="71" w:left="170"/>
        <w:jc w:val="both"/>
        <w:rPr>
          <w:rFonts w:ascii="Arial Unicode MS" w:hAnsi="Arial Unicode MS"/>
          <w:color w:val="000000"/>
          <w:sz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E430EE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5" w:history="1">
        <w:r w:rsidRPr="00D13D5E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5A126B">
      <w:footerReference w:type="even" r:id="rId26"/>
      <w:footerReference w:type="default" r:id="rId2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FC7C9" w14:textId="77777777" w:rsidR="00B83B03" w:rsidRDefault="00B83B03">
      <w:r>
        <w:separator/>
      </w:r>
    </w:p>
  </w:endnote>
  <w:endnote w:type="continuationSeparator" w:id="0">
    <w:p w14:paraId="5F3DDC15" w14:textId="77777777" w:rsidR="00B83B03" w:rsidRDefault="00B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519F" w14:textId="77777777" w:rsidR="00090E5B" w:rsidRDefault="00090E5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463B92" w14:textId="77777777" w:rsidR="00090E5B" w:rsidRDefault="00090E5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21AF" w14:textId="77777777" w:rsidR="00090E5B" w:rsidRDefault="00090E5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126B">
      <w:rPr>
        <w:rStyle w:val="a7"/>
        <w:noProof/>
      </w:rPr>
      <w:t>1</w:t>
    </w:r>
    <w:r>
      <w:rPr>
        <w:rStyle w:val="a7"/>
      </w:rPr>
      <w:fldChar w:fldCharType="end"/>
    </w:r>
  </w:p>
  <w:p w14:paraId="646BE9D3" w14:textId="77777777" w:rsidR="00090E5B" w:rsidRPr="00716032" w:rsidRDefault="005A126B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C96DBB" w:rsidRPr="00716032">
      <w:rPr>
        <w:rFonts w:ascii="Arial Unicode MS" w:hAnsi="Arial Unicode MS" w:hint="eastAsia"/>
        <w:sz w:val="18"/>
      </w:rPr>
      <w:t>臺灣警察專科學校組織條例</w:t>
    </w:r>
    <w:r>
      <w:rPr>
        <w:rFonts w:ascii="Arial Unicode MS" w:hAnsi="Arial Unicode MS" w:hint="eastAsia"/>
        <w:sz w:val="18"/>
      </w:rPr>
      <w:t>〉〉</w:t>
    </w:r>
    <w:r w:rsidR="00090E5B" w:rsidRPr="00716032">
      <w:rPr>
        <w:rFonts w:ascii="Arial Unicode MS" w:hAnsi="Arial Unicode MS" w:hint="eastAsia"/>
        <w:sz w:val="18"/>
      </w:rPr>
      <w:t>S-link</w:t>
    </w:r>
    <w:r w:rsidR="00090E5B" w:rsidRPr="00716032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DB1A" w14:textId="77777777" w:rsidR="00B83B03" w:rsidRDefault="00B83B03">
      <w:r>
        <w:separator/>
      </w:r>
    </w:p>
  </w:footnote>
  <w:footnote w:type="continuationSeparator" w:id="0">
    <w:p w14:paraId="32DC1A43" w14:textId="77777777" w:rsidR="00B83B03" w:rsidRDefault="00B83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09517140">
    <w:abstractNumId w:val="0"/>
  </w:num>
  <w:num w:numId="2" w16cid:durableId="137789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41F63"/>
    <w:rsid w:val="0007318D"/>
    <w:rsid w:val="000811BC"/>
    <w:rsid w:val="00086E54"/>
    <w:rsid w:val="00090E5B"/>
    <w:rsid w:val="000945D5"/>
    <w:rsid w:val="000A7A54"/>
    <w:rsid w:val="000D0F4A"/>
    <w:rsid w:val="000D545D"/>
    <w:rsid w:val="00121A95"/>
    <w:rsid w:val="0012255A"/>
    <w:rsid w:val="001238E8"/>
    <w:rsid w:val="001613B9"/>
    <w:rsid w:val="00162300"/>
    <w:rsid w:val="001A49BA"/>
    <w:rsid w:val="001B2013"/>
    <w:rsid w:val="001C4D46"/>
    <w:rsid w:val="001C6FAC"/>
    <w:rsid w:val="001E4EAE"/>
    <w:rsid w:val="002331B6"/>
    <w:rsid w:val="00243DF9"/>
    <w:rsid w:val="00250FA6"/>
    <w:rsid w:val="00260074"/>
    <w:rsid w:val="00293065"/>
    <w:rsid w:val="002B4B9C"/>
    <w:rsid w:val="002E3B23"/>
    <w:rsid w:val="002F5997"/>
    <w:rsid w:val="00310E06"/>
    <w:rsid w:val="003222AE"/>
    <w:rsid w:val="003643E8"/>
    <w:rsid w:val="003B0626"/>
    <w:rsid w:val="003B13F3"/>
    <w:rsid w:val="00431EEC"/>
    <w:rsid w:val="00434AE7"/>
    <w:rsid w:val="0046479C"/>
    <w:rsid w:val="00480594"/>
    <w:rsid w:val="0048474C"/>
    <w:rsid w:val="004A0CC8"/>
    <w:rsid w:val="004B52A7"/>
    <w:rsid w:val="005360FE"/>
    <w:rsid w:val="00561376"/>
    <w:rsid w:val="00567A84"/>
    <w:rsid w:val="00582DFF"/>
    <w:rsid w:val="005A126B"/>
    <w:rsid w:val="005A5315"/>
    <w:rsid w:val="00612558"/>
    <w:rsid w:val="0061669B"/>
    <w:rsid w:val="00665917"/>
    <w:rsid w:val="00671888"/>
    <w:rsid w:val="00683312"/>
    <w:rsid w:val="006A2BCA"/>
    <w:rsid w:val="006B2AE3"/>
    <w:rsid w:val="006E01BF"/>
    <w:rsid w:val="006E50AA"/>
    <w:rsid w:val="006F00F5"/>
    <w:rsid w:val="00701104"/>
    <w:rsid w:val="00706A3E"/>
    <w:rsid w:val="00716032"/>
    <w:rsid w:val="007510D5"/>
    <w:rsid w:val="0076126B"/>
    <w:rsid w:val="00774EB9"/>
    <w:rsid w:val="0078068C"/>
    <w:rsid w:val="007B4C8C"/>
    <w:rsid w:val="007C5BAB"/>
    <w:rsid w:val="00807B14"/>
    <w:rsid w:val="00815813"/>
    <w:rsid w:val="0083757D"/>
    <w:rsid w:val="00845988"/>
    <w:rsid w:val="00851ECD"/>
    <w:rsid w:val="0087077B"/>
    <w:rsid w:val="008A2A57"/>
    <w:rsid w:val="008B41D0"/>
    <w:rsid w:val="008C18D5"/>
    <w:rsid w:val="008C7DD8"/>
    <w:rsid w:val="008D1172"/>
    <w:rsid w:val="00904D82"/>
    <w:rsid w:val="00967FC0"/>
    <w:rsid w:val="009944AA"/>
    <w:rsid w:val="00995A2A"/>
    <w:rsid w:val="00995AAE"/>
    <w:rsid w:val="009A199C"/>
    <w:rsid w:val="009D54F3"/>
    <w:rsid w:val="009E0895"/>
    <w:rsid w:val="009F0EC4"/>
    <w:rsid w:val="00A053FD"/>
    <w:rsid w:val="00A14737"/>
    <w:rsid w:val="00A17230"/>
    <w:rsid w:val="00A371F7"/>
    <w:rsid w:val="00A6011A"/>
    <w:rsid w:val="00A605F5"/>
    <w:rsid w:val="00A71C27"/>
    <w:rsid w:val="00A93CCE"/>
    <w:rsid w:val="00AB1481"/>
    <w:rsid w:val="00AD52B5"/>
    <w:rsid w:val="00B00A32"/>
    <w:rsid w:val="00B053A3"/>
    <w:rsid w:val="00B27F2D"/>
    <w:rsid w:val="00B363E5"/>
    <w:rsid w:val="00B53B46"/>
    <w:rsid w:val="00B617E3"/>
    <w:rsid w:val="00B83B03"/>
    <w:rsid w:val="00BA360D"/>
    <w:rsid w:val="00BA6E03"/>
    <w:rsid w:val="00BB2359"/>
    <w:rsid w:val="00BC54F2"/>
    <w:rsid w:val="00BC70EF"/>
    <w:rsid w:val="00BF26BB"/>
    <w:rsid w:val="00BF7BA5"/>
    <w:rsid w:val="00C23A17"/>
    <w:rsid w:val="00C357DC"/>
    <w:rsid w:val="00C358A8"/>
    <w:rsid w:val="00C42B4D"/>
    <w:rsid w:val="00C50466"/>
    <w:rsid w:val="00C96DBB"/>
    <w:rsid w:val="00CB08B8"/>
    <w:rsid w:val="00CB4444"/>
    <w:rsid w:val="00CF378B"/>
    <w:rsid w:val="00CF476E"/>
    <w:rsid w:val="00D027CD"/>
    <w:rsid w:val="00D04524"/>
    <w:rsid w:val="00D36745"/>
    <w:rsid w:val="00D36C72"/>
    <w:rsid w:val="00D517BD"/>
    <w:rsid w:val="00D66E62"/>
    <w:rsid w:val="00D87A9A"/>
    <w:rsid w:val="00DC5067"/>
    <w:rsid w:val="00E057C9"/>
    <w:rsid w:val="00E11C5F"/>
    <w:rsid w:val="00E3409F"/>
    <w:rsid w:val="00E430EE"/>
    <w:rsid w:val="00E44639"/>
    <w:rsid w:val="00E64757"/>
    <w:rsid w:val="00E678EC"/>
    <w:rsid w:val="00E714CD"/>
    <w:rsid w:val="00EA2D01"/>
    <w:rsid w:val="00EA40F0"/>
    <w:rsid w:val="00EB043E"/>
    <w:rsid w:val="00EB21EE"/>
    <w:rsid w:val="00ED06D7"/>
    <w:rsid w:val="00F143E5"/>
    <w:rsid w:val="00F31546"/>
    <w:rsid w:val="00F3421C"/>
    <w:rsid w:val="00F5322A"/>
    <w:rsid w:val="00F562F6"/>
    <w:rsid w:val="00F72826"/>
    <w:rsid w:val="00F82645"/>
    <w:rsid w:val="00F95B90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D71847"/>
  <w15:docId w15:val="{E5DB5BAE-E050-42FA-9128-9887C5A4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716032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  <w:sz w:val="20"/>
    </w:rPr>
  </w:style>
  <w:style w:type="paragraph" w:styleId="a8">
    <w:name w:val="Document Map"/>
    <w:basedOn w:val="a"/>
    <w:link w:val="a9"/>
    <w:rsid w:val="00716032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716032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716032"/>
    <w:rPr>
      <w:rFonts w:ascii="Arial Unicode MS" w:hAnsi="Arial Unicode MS" w:cs="Arial Unicode MS"/>
      <w:bCs/>
      <w:color w:val="990000"/>
      <w:kern w:val="2"/>
      <w:szCs w:val="48"/>
    </w:rPr>
  </w:style>
  <w:style w:type="character" w:styleId="aa">
    <w:name w:val="Unresolved Mention"/>
    <w:basedOn w:val="a0"/>
    <w:uiPriority w:val="99"/>
    <w:semiHidden/>
    <w:unhideWhenUsed/>
    <w:rsid w:val="00E43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" TargetMode="External"/><Relationship Id="rId18" Type="http://schemas.openxmlformats.org/officeDocument/2006/relationships/hyperlink" Target="../law/&#35686;&#23519;&#25945;&#32946;&#26781;&#20363;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../law/&#32856;&#29992;&#20154;&#21729;&#32856;&#29992;&#26781;&#20363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../6law/law/&#33274;&#28771;&#35686;&#23519;&#23560;&#31185;&#23416;&#26657;&#32068;&#32340;&#26781;&#20363;.htm" TargetMode="External"/><Relationship Id="rId17" Type="http://schemas.openxmlformats.org/officeDocument/2006/relationships/hyperlink" Target="https://www.npa.gov.tw/" TargetMode="External"/><Relationship Id="rId25" Type="http://schemas.openxmlformats.org/officeDocument/2006/relationships/hyperlink" Target="https://www.6laws.net/comment.htm" TargetMode="External"/><Relationship Id="rId2" Type="http://schemas.openxmlformats.org/officeDocument/2006/relationships/styles" Target="styles.xml"/><Relationship Id="rId16" Type="http://schemas.openxmlformats.org/officeDocument/2006/relationships/hyperlink" Target="../law/&#35686;&#23519;&#25945;&#32946;&#26781;&#20363;.docx" TargetMode="External"/><Relationship Id="rId20" Type="http://schemas.openxmlformats.org/officeDocument/2006/relationships/hyperlink" Target="../law/&#25945;&#32946;&#20154;&#21729;&#20219;&#29992;&#26781;&#20363;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hyperlink" Target="../law/&#20844;&#21209;&#20154;&#21729;&#20219;&#29992;&#2786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6law/law/&#33274;&#28771;&#35686;&#23519;&#23560;&#31185;&#23416;&#26657;&#32068;&#32340;&#26781;&#20363;.htm" TargetMode="External"/><Relationship Id="rId23" Type="http://schemas.openxmlformats.org/officeDocument/2006/relationships/hyperlink" Target="../law/&#20844;&#21209;&#20154;&#21729;&#20219;&#29992;&#27861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aw.moj.gov.tw/LawClass/LawHistory.aspx?PCode=D0000034" TargetMode="External"/><Relationship Id="rId19" Type="http://schemas.openxmlformats.org/officeDocument/2006/relationships/hyperlink" Target="../law/&#23560;&#31185;&#23416;&#26657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../law/&#32856;&#29992;&#20154;&#21729;&#32856;&#29992;&#26781;&#20363;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Links>
    <vt:vector size="120" baseType="variant">
      <vt:variant>
        <vt:i4>2949124</vt:i4>
      </vt:variant>
      <vt:variant>
        <vt:i4>57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54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51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48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1039299455</vt:i4>
      </vt:variant>
      <vt:variant>
        <vt:i4>39</vt:i4>
      </vt:variant>
      <vt:variant>
        <vt:i4>0</vt:i4>
      </vt:variant>
      <vt:variant>
        <vt:i4>5</vt:i4>
      </vt:variant>
      <vt:variant>
        <vt:lpwstr>../law/公務人員任用法.doc</vt:lpwstr>
      </vt:variant>
      <vt:variant>
        <vt:lpwstr>a8</vt:lpwstr>
      </vt:variant>
      <vt:variant>
        <vt:i4>1036677918</vt:i4>
      </vt:variant>
      <vt:variant>
        <vt:i4>36</vt:i4>
      </vt:variant>
      <vt:variant>
        <vt:i4>0</vt:i4>
      </vt:variant>
      <vt:variant>
        <vt:i4>5</vt:i4>
      </vt:variant>
      <vt:variant>
        <vt:lpwstr>../law/公務人員任用法.doc</vt:lpwstr>
      </vt:variant>
      <vt:variant>
        <vt:lpwstr/>
      </vt:variant>
      <vt:variant>
        <vt:i4>3604577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460138086</vt:i4>
      </vt:variant>
      <vt:variant>
        <vt:i4>30</vt:i4>
      </vt:variant>
      <vt:variant>
        <vt:i4>0</vt:i4>
      </vt:variant>
      <vt:variant>
        <vt:i4>5</vt:i4>
      </vt:variant>
      <vt:variant>
        <vt:lpwstr>聘用人員聘用條例.doc</vt:lpwstr>
      </vt:variant>
      <vt:variant>
        <vt:lpwstr/>
      </vt:variant>
      <vt:variant>
        <vt:i4>460138086</vt:i4>
      </vt:variant>
      <vt:variant>
        <vt:i4>27</vt:i4>
      </vt:variant>
      <vt:variant>
        <vt:i4>0</vt:i4>
      </vt:variant>
      <vt:variant>
        <vt:i4>5</vt:i4>
      </vt:variant>
      <vt:variant>
        <vt:lpwstr>聘用人員聘用條例.doc</vt:lpwstr>
      </vt:variant>
      <vt:variant>
        <vt:lpwstr/>
      </vt:variant>
      <vt:variant>
        <vt:i4>-285798972</vt:i4>
      </vt:variant>
      <vt:variant>
        <vt:i4>24</vt:i4>
      </vt:variant>
      <vt:variant>
        <vt:i4>0</vt:i4>
      </vt:variant>
      <vt:variant>
        <vt:i4>5</vt:i4>
      </vt:variant>
      <vt:variant>
        <vt:lpwstr>教育人員任用條例.doc</vt:lpwstr>
      </vt:variant>
      <vt:variant>
        <vt:lpwstr/>
      </vt:variant>
      <vt:variant>
        <vt:i4>1805062654</vt:i4>
      </vt:variant>
      <vt:variant>
        <vt:i4>21</vt:i4>
      </vt:variant>
      <vt:variant>
        <vt:i4>0</vt:i4>
      </vt:variant>
      <vt:variant>
        <vt:i4>5</vt:i4>
      </vt:variant>
      <vt:variant>
        <vt:lpwstr>../law/專科學校法.doc</vt:lpwstr>
      </vt:variant>
      <vt:variant>
        <vt:lpwstr/>
      </vt:variant>
      <vt:variant>
        <vt:i4>-1797159197</vt:i4>
      </vt:variant>
      <vt:variant>
        <vt:i4>18</vt:i4>
      </vt:variant>
      <vt:variant>
        <vt:i4>0</vt:i4>
      </vt:variant>
      <vt:variant>
        <vt:i4>5</vt:i4>
      </vt:variant>
      <vt:variant>
        <vt:lpwstr>警察教育條例.doc</vt:lpwstr>
      </vt:variant>
      <vt:variant>
        <vt:lpwstr/>
      </vt:variant>
      <vt:variant>
        <vt:i4>-2031840084</vt:i4>
      </vt:variant>
      <vt:variant>
        <vt:i4>15</vt:i4>
      </vt:variant>
      <vt:variant>
        <vt:i4>0</vt:i4>
      </vt:variant>
      <vt:variant>
        <vt:i4>5</vt:i4>
      </vt:variant>
      <vt:variant>
        <vt:lpwstr>../law/警察教育條例.doc</vt:lpwstr>
      </vt:variant>
      <vt:variant>
        <vt:lpwstr>a2</vt:lpwstr>
      </vt:variant>
      <vt:variant>
        <vt:i4>198121568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http://www.6law.idv.tw/6law/law/臺灣警察專科學校組織條例.htm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臺灣警察專科學校組織條例</dc:title>
  <dc:subject/>
  <dc:creator>S-link 電子六法-黃婉玲</dc:creator>
  <cp:keywords/>
  <cp:lastModifiedBy>黃婉玲 S-link電子六法</cp:lastModifiedBy>
  <cp:revision>14</cp:revision>
  <dcterms:created xsi:type="dcterms:W3CDTF">2014-11-27T09:34:00Z</dcterms:created>
  <dcterms:modified xsi:type="dcterms:W3CDTF">2022-10-08T13:02:00Z</dcterms:modified>
</cp:coreProperties>
</file>